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7D45D" w14:textId="77777777" w:rsidR="00D24E27" w:rsidRPr="007713C1" w:rsidRDefault="00D24E27" w:rsidP="00D24E27">
      <w:pPr>
        <w:jc w:val="center"/>
        <w:rPr>
          <w:rFonts w:ascii="Times New Roman" w:hAnsi="Times New Roman"/>
          <w:b/>
          <w:sz w:val="40"/>
          <w:szCs w:val="40"/>
        </w:rPr>
      </w:pPr>
      <w:bookmarkStart w:id="0" w:name="_GoBack"/>
      <w:bookmarkEnd w:id="0"/>
      <w:r w:rsidRPr="007713C1">
        <w:rPr>
          <w:rFonts w:ascii="Times New Roman" w:hAnsi="Times New Roman"/>
          <w:b/>
          <w:sz w:val="40"/>
          <w:szCs w:val="40"/>
        </w:rPr>
        <w:t>УСЛОВИЯ ЗА КАНДИДАТСТВАНЕ</w:t>
      </w:r>
    </w:p>
    <w:p w14:paraId="176AA431" w14:textId="77777777" w:rsidR="00D24E27" w:rsidRPr="007713C1" w:rsidRDefault="00D24E27" w:rsidP="00A113A8">
      <w:pPr>
        <w:spacing w:before="160" w:line="360" w:lineRule="auto"/>
        <w:jc w:val="center"/>
        <w:rPr>
          <w:rFonts w:ascii="Times New Roman" w:hAnsi="Times New Roman"/>
          <w:b/>
          <w:sz w:val="32"/>
          <w:szCs w:val="32"/>
        </w:rPr>
      </w:pPr>
      <w:r w:rsidRPr="007713C1">
        <w:rPr>
          <w:rFonts w:ascii="Times New Roman" w:hAnsi="Times New Roman"/>
          <w:b/>
          <w:sz w:val="32"/>
          <w:szCs w:val="32"/>
        </w:rPr>
        <w:t>с проектни предложения за предоставяне на безвъзмездна финансова помощ по</w:t>
      </w:r>
    </w:p>
    <w:p w14:paraId="7129AC50" w14:textId="77777777" w:rsidR="00D24E27" w:rsidRPr="007713C1" w:rsidRDefault="00D24E27" w:rsidP="00A113A8">
      <w:pPr>
        <w:spacing w:before="160" w:line="360" w:lineRule="auto"/>
        <w:jc w:val="center"/>
        <w:rPr>
          <w:rFonts w:ascii="Times New Roman" w:hAnsi="Times New Roman"/>
          <w:b/>
          <w:sz w:val="32"/>
          <w:szCs w:val="32"/>
        </w:rPr>
      </w:pPr>
      <w:r w:rsidRPr="007713C1">
        <w:rPr>
          <w:rFonts w:ascii="Times New Roman" w:hAnsi="Times New Roman"/>
          <w:b/>
          <w:sz w:val="32"/>
          <w:szCs w:val="32"/>
        </w:rPr>
        <w:t xml:space="preserve">Оперативна програма „Развитие на човешките ресурси“ </w:t>
      </w:r>
    </w:p>
    <w:p w14:paraId="66C461F6" w14:textId="77777777" w:rsidR="007718CE" w:rsidRPr="007713C1" w:rsidRDefault="00D24E27" w:rsidP="00BF2C64">
      <w:pPr>
        <w:spacing w:before="160" w:line="360" w:lineRule="auto"/>
        <w:jc w:val="center"/>
        <w:rPr>
          <w:rFonts w:ascii="Times New Roman" w:hAnsi="Times New Roman"/>
          <w:b/>
          <w:sz w:val="32"/>
          <w:szCs w:val="32"/>
        </w:rPr>
      </w:pPr>
      <w:r w:rsidRPr="007713C1">
        <w:rPr>
          <w:rFonts w:ascii="Times New Roman" w:hAnsi="Times New Roman"/>
          <w:b/>
          <w:sz w:val="32"/>
          <w:szCs w:val="32"/>
        </w:rPr>
        <w:t>2014-2020</w:t>
      </w:r>
      <w:r w:rsidR="00030119">
        <w:rPr>
          <w:rFonts w:ascii="Times New Roman" w:hAnsi="Times New Roman"/>
          <w:b/>
          <w:sz w:val="32"/>
          <w:szCs w:val="32"/>
        </w:rPr>
        <w:t xml:space="preserve"> чрез подхода </w:t>
      </w:r>
      <w:r w:rsidR="00170A94">
        <w:rPr>
          <w:rFonts w:ascii="Times New Roman" w:hAnsi="Times New Roman"/>
          <w:b/>
          <w:sz w:val="32"/>
          <w:szCs w:val="32"/>
        </w:rPr>
        <w:t>ВОДЕНО ОТ ОБЩНОСТИТЕ МЕСТНО РАЗВИТИЕ</w:t>
      </w:r>
    </w:p>
    <w:p w14:paraId="16EEFF99" w14:textId="77777777" w:rsidR="00177AC9" w:rsidRPr="007713C1" w:rsidRDefault="00177AC9" w:rsidP="009C0B06">
      <w:pPr>
        <w:jc w:val="center"/>
        <w:rPr>
          <w:rFonts w:ascii="Times New Roman" w:hAnsi="Times New Roman"/>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D24E27" w:rsidRPr="008F724D" w14:paraId="01A8AFDB" w14:textId="77777777">
        <w:trPr>
          <w:trHeight w:val="470"/>
        </w:trPr>
        <w:tc>
          <w:tcPr>
            <w:tcW w:w="9496" w:type="dxa"/>
            <w:shd w:val="clear" w:color="auto" w:fill="CCECFF"/>
          </w:tcPr>
          <w:p w14:paraId="69D05344" w14:textId="77777777" w:rsidR="00D24E27" w:rsidRPr="008F724D" w:rsidRDefault="00D24E27" w:rsidP="003852F5">
            <w:pPr>
              <w:spacing w:before="240" w:after="240" w:line="240" w:lineRule="auto"/>
              <w:jc w:val="center"/>
              <w:rPr>
                <w:rFonts w:ascii="Times New Roman" w:eastAsia="Times New Roman" w:hAnsi="Times New Roman"/>
                <w:b/>
                <w:sz w:val="28"/>
                <w:szCs w:val="28"/>
                <w:lang w:eastAsia="bg-BG"/>
              </w:rPr>
            </w:pPr>
            <w:r w:rsidRPr="008F724D">
              <w:rPr>
                <w:rFonts w:ascii="Times New Roman" w:eastAsia="Times New Roman" w:hAnsi="Times New Roman"/>
                <w:b/>
                <w:sz w:val="28"/>
                <w:szCs w:val="28"/>
                <w:lang w:eastAsia="bg-BG"/>
              </w:rPr>
              <w:t xml:space="preserve">Процедура </w:t>
            </w:r>
            <w:r w:rsidR="00303BC8" w:rsidRPr="008F724D">
              <w:rPr>
                <w:rFonts w:ascii="Times New Roman" w:eastAsia="Times New Roman" w:hAnsi="Times New Roman"/>
                <w:b/>
                <w:sz w:val="28"/>
                <w:szCs w:val="28"/>
                <w:lang w:eastAsia="bg-BG"/>
              </w:rPr>
              <w:t>чрез</w:t>
            </w:r>
            <w:r w:rsidRPr="008F724D">
              <w:rPr>
                <w:rFonts w:ascii="Times New Roman" w:eastAsia="Times New Roman" w:hAnsi="Times New Roman"/>
                <w:b/>
                <w:sz w:val="28"/>
                <w:szCs w:val="28"/>
                <w:lang w:eastAsia="bg-BG"/>
              </w:rPr>
              <w:t xml:space="preserve"> подбор на проект</w:t>
            </w:r>
            <w:r w:rsidR="000F4530" w:rsidRPr="008F724D">
              <w:rPr>
                <w:rFonts w:ascii="Times New Roman" w:eastAsia="Times New Roman" w:hAnsi="Times New Roman"/>
                <w:b/>
                <w:sz w:val="28"/>
                <w:szCs w:val="28"/>
                <w:lang w:eastAsia="bg-BG"/>
              </w:rPr>
              <w:t>н</w:t>
            </w:r>
            <w:r w:rsidRPr="008F724D">
              <w:rPr>
                <w:rFonts w:ascii="Times New Roman" w:eastAsia="Times New Roman" w:hAnsi="Times New Roman"/>
                <w:b/>
                <w:sz w:val="28"/>
                <w:szCs w:val="28"/>
                <w:lang w:eastAsia="bg-BG"/>
              </w:rPr>
              <w:t>и</w:t>
            </w:r>
            <w:r w:rsidR="000F4530" w:rsidRPr="008F724D">
              <w:rPr>
                <w:rFonts w:ascii="Times New Roman" w:eastAsia="Times New Roman" w:hAnsi="Times New Roman"/>
                <w:b/>
                <w:sz w:val="28"/>
                <w:szCs w:val="28"/>
                <w:lang w:eastAsia="bg-BG"/>
              </w:rPr>
              <w:t xml:space="preserve"> предложения</w:t>
            </w:r>
            <w:r w:rsidRPr="008F724D">
              <w:rPr>
                <w:rFonts w:ascii="Times New Roman" w:eastAsia="Times New Roman" w:hAnsi="Times New Roman"/>
                <w:b/>
                <w:sz w:val="28"/>
                <w:szCs w:val="28"/>
                <w:lang w:eastAsia="bg-BG"/>
              </w:rPr>
              <w:t xml:space="preserve"> с един краен срок за кандидатстване</w:t>
            </w:r>
          </w:p>
          <w:p w14:paraId="78174ADD" w14:textId="77777777" w:rsidR="008F47B0" w:rsidRPr="003852F5" w:rsidRDefault="003852F5" w:rsidP="003852F5">
            <w:pPr>
              <w:pStyle w:val="CommentText"/>
              <w:jc w:val="center"/>
              <w:rPr>
                <w:rFonts w:ascii="Times New Roman" w:hAnsi="Times New Roman"/>
                <w:b/>
                <w:sz w:val="24"/>
                <w:szCs w:val="24"/>
                <w:lang w:val="bg-BG"/>
              </w:rPr>
            </w:pPr>
            <w:r w:rsidRPr="003852F5">
              <w:rPr>
                <w:rFonts w:ascii="Times New Roman" w:eastAsia="Times New Roman" w:hAnsi="Times New Roman"/>
                <w:b/>
                <w:sz w:val="28"/>
                <w:szCs w:val="28"/>
                <w:lang w:eastAsia="bg-BG"/>
              </w:rPr>
              <w:t xml:space="preserve">BG05M9OP001-1.119 </w:t>
            </w:r>
            <w:r w:rsidR="00301715">
              <w:rPr>
                <w:rFonts w:ascii="Times New Roman" w:eastAsia="Times New Roman" w:hAnsi="Times New Roman"/>
                <w:b/>
                <w:sz w:val="24"/>
                <w:szCs w:val="24"/>
                <w:lang w:val="bg-BG" w:eastAsia="bg-BG"/>
              </w:rPr>
              <w:t>„</w:t>
            </w:r>
            <w:r w:rsidR="00C07E91" w:rsidRPr="00C07E91">
              <w:rPr>
                <w:rFonts w:ascii="Times New Roman" w:eastAsia="Times New Roman" w:hAnsi="Times New Roman"/>
                <w:b/>
                <w:sz w:val="24"/>
                <w:szCs w:val="24"/>
                <w:lang w:eastAsia="bg-BG"/>
              </w:rPr>
              <w:t>МИГ</w:t>
            </w:r>
            <w:r w:rsidR="00301715">
              <w:rPr>
                <w:rFonts w:ascii="Times New Roman" w:eastAsia="Times New Roman" w:hAnsi="Times New Roman"/>
                <w:b/>
                <w:sz w:val="24"/>
                <w:szCs w:val="24"/>
                <w:lang w:eastAsia="bg-BG"/>
              </w:rPr>
              <w:t xml:space="preserve"> Лясковец – Стражица</w:t>
            </w:r>
            <w:r w:rsidR="00EB3490" w:rsidRPr="008F47B0">
              <w:rPr>
                <w:rFonts w:ascii="Times New Roman" w:eastAsia="Times New Roman" w:hAnsi="Times New Roman"/>
                <w:b/>
                <w:sz w:val="24"/>
                <w:szCs w:val="24"/>
                <w:lang w:val="ru-RU" w:eastAsia="bg-BG"/>
              </w:rPr>
              <w:t xml:space="preserve"> </w:t>
            </w:r>
            <w:r w:rsidR="00223651">
              <w:rPr>
                <w:rFonts w:ascii="Times New Roman" w:eastAsia="Times New Roman" w:hAnsi="Times New Roman"/>
                <w:b/>
                <w:sz w:val="24"/>
                <w:szCs w:val="24"/>
                <w:lang w:val="ru-RU" w:eastAsia="bg-BG"/>
              </w:rPr>
              <w:t>Мярка МИГ 03</w:t>
            </w:r>
            <w:r w:rsidR="00301715">
              <w:rPr>
                <w:rFonts w:ascii="Times New Roman" w:hAnsi="Times New Roman"/>
                <w:sz w:val="24"/>
                <w:szCs w:val="24"/>
                <w:lang w:val="bg-BG"/>
              </w:rPr>
              <w:t xml:space="preserve"> </w:t>
            </w:r>
            <w:r w:rsidR="00D6201F" w:rsidRPr="003852F5">
              <w:rPr>
                <w:rFonts w:ascii="Times New Roman" w:hAnsi="Times New Roman"/>
                <w:b/>
                <w:sz w:val="24"/>
                <w:szCs w:val="24"/>
                <w:lang w:val="bg-BG"/>
              </w:rPr>
              <w:t>„</w:t>
            </w:r>
            <w:r w:rsidR="008F47B0" w:rsidRPr="003852F5">
              <w:rPr>
                <w:rFonts w:ascii="Times New Roman" w:hAnsi="Times New Roman"/>
                <w:b/>
                <w:sz w:val="24"/>
                <w:szCs w:val="24"/>
                <w:lang w:val="bg-BG"/>
              </w:rPr>
              <w:t>По-добро здраве и работоспособност на заетите в икономиката на общините  Лясковец и Стражица“</w:t>
            </w:r>
          </w:p>
          <w:p w14:paraId="30A00775" w14:textId="77777777" w:rsidR="00C07E91" w:rsidRPr="00C07E91" w:rsidRDefault="00C07E91" w:rsidP="00C07E91">
            <w:pPr>
              <w:spacing w:line="276" w:lineRule="auto"/>
              <w:jc w:val="both"/>
              <w:rPr>
                <w:rFonts w:ascii="Times New Roman" w:eastAsia="Times New Roman" w:hAnsi="Times New Roman"/>
                <w:b/>
                <w:sz w:val="24"/>
                <w:szCs w:val="24"/>
                <w:lang w:eastAsia="bg-BG"/>
              </w:rPr>
            </w:pPr>
          </w:p>
          <w:p w14:paraId="064AE10F" w14:textId="77777777" w:rsidR="00D24E27" w:rsidRPr="008F724D" w:rsidRDefault="00D24E27" w:rsidP="008F724D">
            <w:pPr>
              <w:spacing w:before="240" w:after="240" w:line="240" w:lineRule="auto"/>
              <w:jc w:val="center"/>
              <w:rPr>
                <w:rFonts w:ascii="Times New Roman" w:eastAsia="Times New Roman" w:hAnsi="Times New Roman"/>
                <w:sz w:val="20"/>
                <w:szCs w:val="20"/>
                <w:lang w:eastAsia="bg-BG"/>
              </w:rPr>
            </w:pPr>
          </w:p>
        </w:tc>
      </w:tr>
    </w:tbl>
    <w:p w14:paraId="3F6F08E6" w14:textId="77777777" w:rsidR="007718CE" w:rsidRPr="00FD78FC" w:rsidRDefault="007718CE" w:rsidP="009C0B06">
      <w:pPr>
        <w:jc w:val="center"/>
        <w:rPr>
          <w:rFonts w:ascii="Times New Roman" w:hAnsi="Times New Roman"/>
        </w:rPr>
      </w:pPr>
    </w:p>
    <w:p w14:paraId="21B53D12" w14:textId="77777777" w:rsidR="008D413D" w:rsidRPr="00FD78FC" w:rsidRDefault="008D413D" w:rsidP="009C0B06">
      <w:pPr>
        <w:jc w:val="center"/>
        <w:rPr>
          <w:rFonts w:ascii="Times New Roman" w:hAnsi="Times New Roman"/>
        </w:rPr>
      </w:pPr>
    </w:p>
    <w:p w14:paraId="40F48E7E" w14:textId="77777777" w:rsidR="008D413D" w:rsidRPr="00FD78FC" w:rsidRDefault="008D413D" w:rsidP="009C0B06">
      <w:pPr>
        <w:jc w:val="center"/>
        <w:rPr>
          <w:rFonts w:ascii="Times New Roman" w:hAnsi="Times New Roman"/>
        </w:rPr>
      </w:pPr>
    </w:p>
    <w:p w14:paraId="010B3F09" w14:textId="77777777" w:rsidR="008D413D" w:rsidRPr="00FD78FC" w:rsidRDefault="008D413D" w:rsidP="009C0B06">
      <w:pPr>
        <w:jc w:val="center"/>
        <w:rPr>
          <w:rFonts w:ascii="Times New Roman" w:hAnsi="Times New Roman"/>
        </w:rPr>
      </w:pPr>
    </w:p>
    <w:p w14:paraId="277DE5C8" w14:textId="77777777" w:rsidR="009C0B06" w:rsidRPr="00FD78FC" w:rsidRDefault="00A63BBF" w:rsidP="009C0B06">
      <w:pPr>
        <w:jc w:val="center"/>
        <w:rPr>
          <w:rFonts w:ascii="Times New Roman" w:hAnsi="Times New Roman"/>
        </w:rPr>
      </w:pPr>
      <w:r>
        <w:rPr>
          <w:rFonts w:ascii="Times New Roman" w:hAnsi="Times New Roman"/>
          <w:noProof/>
          <w:lang w:eastAsia="bg-BG"/>
        </w:rPr>
        <mc:AlternateContent>
          <mc:Choice Requires="wpc">
            <w:drawing>
              <wp:inline distT="0" distB="0" distL="0" distR="0" wp14:anchorId="469398C4" wp14:editId="27586368">
                <wp:extent cx="5991225" cy="419100"/>
                <wp:effectExtent l="0" t="0" r="0" b="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wps:spPr bwMode="auto">
                          <a:xfrm flipV="1">
                            <a:off x="35900" y="139100"/>
                            <a:ext cx="2772312"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927212" y="68200"/>
                            <a:ext cx="318501" cy="143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wps:spPr bwMode="auto">
                          <a:xfrm flipV="1">
                            <a:off x="3388314" y="140800"/>
                            <a:ext cx="2545711" cy="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4B67F35" id="Canvas 2" o:spid="_x0000_s1026" editas="canvas" style="width:471.75pt;height:33pt;mso-position-horizontal-relative:char;mso-position-vertical-relative:line" coordsize="5991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mso-wrap-style:square">
                  <v:fill o:detectmouseclick="t"/>
                  <v:path o:connecttype="none"/>
                </v:shape>
                <v:line id="Line 4" o:spid="_x0000_s1028" style="position:absolute;flip:y;visibility:visible;mso-wrap-style:squar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"/>
                <v:line id="Line 6" o:spid="_x0000_s1030" style="position:absolute;flip:y;visibility:visible;mso-wrap-style:squar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w10:anchorlock/>
              </v:group>
            </w:pict>
          </mc:Fallback>
        </mc:AlternateContent>
      </w:r>
    </w:p>
    <w:p w14:paraId="23E4F543" w14:textId="33E663E9" w:rsidR="00156A73" w:rsidRPr="00390DF0" w:rsidRDefault="00156A73" w:rsidP="00156A73">
      <w:pPr>
        <w:rPr>
          <w:rFonts w:ascii="Times New Roman" w:hAnsi="Times New Roman"/>
          <w:b/>
          <w:sz w:val="24"/>
          <w:szCs w:val="24"/>
        </w:rPr>
      </w:pPr>
      <w:r w:rsidRPr="00390DF0">
        <w:rPr>
          <w:rFonts w:ascii="Times New Roman" w:hAnsi="Times New Roman"/>
          <w:b/>
          <w:sz w:val="24"/>
          <w:szCs w:val="24"/>
        </w:rPr>
        <w:t xml:space="preserve">Краен срок за кандидатстване: </w:t>
      </w:r>
      <w:r w:rsidR="00C300D4">
        <w:rPr>
          <w:rFonts w:ascii="Times New Roman" w:hAnsi="Times New Roman"/>
          <w:b/>
          <w:sz w:val="24"/>
          <w:szCs w:val="24"/>
          <w:lang w:val="en-US"/>
        </w:rPr>
        <w:t>07</w:t>
      </w:r>
      <w:r w:rsidR="003E27EA">
        <w:rPr>
          <w:rFonts w:ascii="Times New Roman" w:hAnsi="Times New Roman"/>
          <w:b/>
          <w:sz w:val="24"/>
          <w:szCs w:val="24"/>
        </w:rPr>
        <w:t>.1</w:t>
      </w:r>
      <w:r w:rsidR="00C300D4">
        <w:rPr>
          <w:rFonts w:ascii="Times New Roman" w:hAnsi="Times New Roman"/>
          <w:b/>
          <w:sz w:val="24"/>
          <w:szCs w:val="24"/>
          <w:lang w:val="en-US"/>
        </w:rPr>
        <w:t>2</w:t>
      </w:r>
      <w:r w:rsidR="003E27EA">
        <w:rPr>
          <w:rFonts w:ascii="Times New Roman" w:hAnsi="Times New Roman"/>
          <w:b/>
          <w:sz w:val="24"/>
          <w:szCs w:val="24"/>
        </w:rPr>
        <w:t>.2020</w:t>
      </w:r>
      <w:r w:rsidRPr="00390DF0">
        <w:rPr>
          <w:rFonts w:ascii="Times New Roman" w:hAnsi="Times New Roman"/>
          <w:b/>
          <w:sz w:val="24"/>
          <w:szCs w:val="24"/>
        </w:rPr>
        <w:t xml:space="preserve"> г., 17:00 часа</w:t>
      </w:r>
    </w:p>
    <w:p w14:paraId="21A1D4E2" w14:textId="77777777" w:rsidR="00156A73" w:rsidRPr="00156A73" w:rsidRDefault="00156A73" w:rsidP="00156A73">
      <w:pPr>
        <w:rPr>
          <w:rFonts w:ascii="Times New Roman" w:hAnsi="Times New Roman"/>
          <w:b/>
        </w:rPr>
      </w:pPr>
    </w:p>
    <w:p w14:paraId="5870B383" w14:textId="77777777" w:rsidR="003A2D4B" w:rsidRPr="007713C1" w:rsidRDefault="00156A73" w:rsidP="00156A73">
      <w:pPr>
        <w:rPr>
          <w:rFonts w:ascii="Times New Roman" w:hAnsi="Times New Roman"/>
          <w:b/>
          <w:sz w:val="28"/>
          <w:szCs w:val="28"/>
        </w:rPr>
      </w:pPr>
      <w:r w:rsidRPr="00156A73">
        <w:rPr>
          <w:rFonts w:ascii="Times New Roman" w:hAnsi="Times New Roman"/>
          <w:b/>
        </w:rPr>
        <w:t>*Условията и редът за предоставянето на безвъзмездна финансова подкрепа от ОП РЧР чрез ВОМР са съгласно  ЗУСЕСИФ от 22.12.2015 г. и ПМС 161/04.07.2016 г.</w:t>
      </w:r>
      <w:r w:rsidR="00D24E27" w:rsidRPr="007713C1">
        <w:rPr>
          <w:rFonts w:ascii="Times New Roman" w:hAnsi="Times New Roman"/>
          <w:b/>
        </w:rPr>
        <w:br w:type="page"/>
      </w:r>
      <w:r w:rsidR="003A2D4B" w:rsidRPr="007713C1">
        <w:rPr>
          <w:rFonts w:ascii="Times New Roman" w:hAnsi="Times New Roman"/>
          <w:b/>
          <w:sz w:val="28"/>
          <w:szCs w:val="28"/>
        </w:rPr>
        <w:lastRenderedPageBreak/>
        <w:t>СЪДЪРЖАНИЕ:</w:t>
      </w:r>
    </w:p>
    <w:p w14:paraId="76A37CC5" w14:textId="77777777" w:rsidR="00BF6B2D" w:rsidRPr="007307BD" w:rsidRDefault="00BF6B2D" w:rsidP="00BF6B2D">
      <w:pPr>
        <w:rPr>
          <w:rFonts w:ascii="Times New Roman" w:hAnsi="Times New Roman"/>
          <w:b/>
          <w:sz w:val="24"/>
          <w:szCs w:val="24"/>
        </w:rPr>
      </w:pPr>
      <w:r w:rsidRPr="00231C97">
        <w:rPr>
          <w:rFonts w:ascii="Times New Roman" w:hAnsi="Times New Roman"/>
          <w:b/>
          <w:sz w:val="24"/>
          <w:szCs w:val="24"/>
          <w:lang w:val="en-US"/>
        </w:rPr>
        <w:t>1</w:t>
      </w:r>
      <w:r w:rsidR="00CD4ED9">
        <w:rPr>
          <w:rFonts w:ascii="Times New Roman" w:hAnsi="Times New Roman"/>
          <w:b/>
          <w:sz w:val="24"/>
          <w:szCs w:val="24"/>
        </w:rPr>
        <w:t>.</w:t>
      </w:r>
      <w:r w:rsidR="001A6D85">
        <w:rPr>
          <w:rFonts w:ascii="Times New Roman" w:hAnsi="Times New Roman"/>
          <w:b/>
          <w:sz w:val="24"/>
          <w:szCs w:val="24"/>
        </w:rPr>
        <w:t xml:space="preserve"> </w:t>
      </w:r>
      <w:r w:rsidRPr="007307BD">
        <w:rPr>
          <w:rFonts w:ascii="Times New Roman" w:hAnsi="Times New Roman"/>
          <w:b/>
          <w:sz w:val="24"/>
          <w:szCs w:val="24"/>
        </w:rPr>
        <w:t>Наименование  на програмата - ……………………………………………………….…</w:t>
      </w:r>
      <w:r w:rsidR="00E71F8F" w:rsidRPr="007307BD">
        <w:rPr>
          <w:rFonts w:ascii="Times New Roman" w:hAnsi="Times New Roman"/>
          <w:b/>
          <w:sz w:val="24"/>
          <w:szCs w:val="24"/>
        </w:rPr>
        <w:t>.7</w:t>
      </w:r>
    </w:p>
    <w:p w14:paraId="78F6815B" w14:textId="77777777" w:rsidR="00BF6B2D" w:rsidRPr="004058DB" w:rsidRDefault="00BF6B2D" w:rsidP="00BF6B2D">
      <w:pPr>
        <w:numPr>
          <w:ilvl w:val="1"/>
          <w:numId w:val="42"/>
        </w:numPr>
        <w:rPr>
          <w:rFonts w:ascii="Times New Roman" w:hAnsi="Times New Roman"/>
          <w:b/>
          <w:sz w:val="24"/>
          <w:szCs w:val="24"/>
        </w:rPr>
      </w:pPr>
      <w:r w:rsidRPr="00210955">
        <w:rPr>
          <w:rFonts w:ascii="Times New Roman" w:hAnsi="Times New Roman"/>
          <w:b/>
          <w:sz w:val="24"/>
          <w:szCs w:val="24"/>
        </w:rPr>
        <w:t>Обща информация за ОП РЧР 2014 – 2020 /ВОМР/…………………</w:t>
      </w:r>
      <w:r w:rsidRPr="004058DB">
        <w:rPr>
          <w:rFonts w:ascii="Times New Roman" w:hAnsi="Times New Roman"/>
          <w:b/>
          <w:sz w:val="24"/>
          <w:szCs w:val="24"/>
        </w:rPr>
        <w:t>……………...</w:t>
      </w:r>
      <w:r w:rsidR="00E71F8F" w:rsidRPr="004058DB">
        <w:rPr>
          <w:rFonts w:ascii="Times New Roman" w:hAnsi="Times New Roman"/>
          <w:b/>
          <w:sz w:val="24"/>
          <w:szCs w:val="24"/>
        </w:rPr>
        <w:t>.7</w:t>
      </w:r>
    </w:p>
    <w:p w14:paraId="23CD8090"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2. Наименование на приоритетната ос…………………………………………………</w:t>
      </w:r>
      <w:r w:rsidR="00E71F8F" w:rsidRPr="004058DB">
        <w:rPr>
          <w:rFonts w:ascii="Times New Roman" w:hAnsi="Times New Roman"/>
          <w:b/>
          <w:sz w:val="24"/>
          <w:szCs w:val="24"/>
        </w:rPr>
        <w:t>.</w:t>
      </w:r>
      <w:r w:rsidRPr="004058DB">
        <w:rPr>
          <w:rFonts w:ascii="Times New Roman" w:hAnsi="Times New Roman"/>
          <w:b/>
          <w:sz w:val="24"/>
          <w:szCs w:val="24"/>
        </w:rPr>
        <w:t>…</w:t>
      </w:r>
      <w:r w:rsidR="00E71F8F" w:rsidRPr="004058DB">
        <w:rPr>
          <w:rFonts w:ascii="Times New Roman" w:hAnsi="Times New Roman"/>
          <w:b/>
          <w:sz w:val="24"/>
          <w:szCs w:val="24"/>
        </w:rPr>
        <w:t>8</w:t>
      </w:r>
    </w:p>
    <w:p w14:paraId="1DC9DB92"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3. Наименование на процедурата………………………………………………………….</w:t>
      </w:r>
      <w:r w:rsidR="00E71F8F" w:rsidRPr="004058DB">
        <w:rPr>
          <w:rFonts w:ascii="Times New Roman" w:hAnsi="Times New Roman"/>
          <w:b/>
          <w:sz w:val="24"/>
          <w:szCs w:val="24"/>
        </w:rPr>
        <w:t>..8</w:t>
      </w:r>
    </w:p>
    <w:p w14:paraId="63F93FE9"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4. Измерения по кодове……………………………………………………………………</w:t>
      </w:r>
      <w:r w:rsidR="00E71F8F" w:rsidRPr="004058DB">
        <w:rPr>
          <w:rFonts w:ascii="Times New Roman" w:hAnsi="Times New Roman"/>
          <w:b/>
          <w:sz w:val="24"/>
          <w:szCs w:val="24"/>
        </w:rPr>
        <w:t>…8</w:t>
      </w:r>
    </w:p>
    <w:p w14:paraId="6C15BF9C"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5. Териториален обхват……………………………………………………………………</w:t>
      </w:r>
      <w:r w:rsidR="00E71F8F" w:rsidRPr="004058DB">
        <w:rPr>
          <w:rFonts w:ascii="Times New Roman" w:hAnsi="Times New Roman"/>
          <w:b/>
          <w:sz w:val="24"/>
          <w:szCs w:val="24"/>
        </w:rPr>
        <w:t>…8</w:t>
      </w:r>
    </w:p>
    <w:p w14:paraId="1964A814" w14:textId="77777777" w:rsidR="00BF6B2D" w:rsidRPr="004058DB" w:rsidRDefault="00BF6B2D" w:rsidP="00BF6B2D">
      <w:pPr>
        <w:rPr>
          <w:rFonts w:ascii="Times New Roman" w:hAnsi="Times New Roman"/>
          <w:b/>
          <w:sz w:val="24"/>
          <w:szCs w:val="24"/>
          <w:lang w:val="en-US"/>
        </w:rPr>
      </w:pPr>
      <w:r w:rsidRPr="004058DB">
        <w:rPr>
          <w:rFonts w:ascii="Times New Roman" w:hAnsi="Times New Roman"/>
          <w:b/>
          <w:sz w:val="24"/>
          <w:szCs w:val="24"/>
        </w:rPr>
        <w:t>6. Цели на предоставяната безвъзмездна помощ по процедурата и очаквани резултати………………………………………………………………………………………</w:t>
      </w:r>
      <w:r w:rsidR="00A0414A" w:rsidRPr="004058DB">
        <w:rPr>
          <w:rFonts w:ascii="Times New Roman" w:hAnsi="Times New Roman"/>
          <w:b/>
          <w:sz w:val="24"/>
          <w:szCs w:val="24"/>
        </w:rPr>
        <w:t>.9</w:t>
      </w:r>
    </w:p>
    <w:p w14:paraId="4590CA07"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7. Индикатори…………………………………………………………………………………</w:t>
      </w:r>
      <w:r w:rsidR="00E71F8F" w:rsidRPr="004058DB">
        <w:rPr>
          <w:rFonts w:ascii="Times New Roman" w:hAnsi="Times New Roman"/>
          <w:b/>
          <w:sz w:val="24"/>
          <w:szCs w:val="24"/>
        </w:rPr>
        <w:t>10</w:t>
      </w:r>
    </w:p>
    <w:p w14:paraId="5EA34250"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8. Общ размер на безвъзмездната финансова помощ…………………………………</w:t>
      </w:r>
      <w:r w:rsidR="00E71F8F" w:rsidRPr="004058DB">
        <w:rPr>
          <w:rFonts w:ascii="Times New Roman" w:hAnsi="Times New Roman"/>
          <w:b/>
          <w:sz w:val="24"/>
          <w:szCs w:val="24"/>
        </w:rPr>
        <w:t>...</w:t>
      </w:r>
      <w:r w:rsidRPr="004058DB">
        <w:rPr>
          <w:rFonts w:ascii="Times New Roman" w:hAnsi="Times New Roman"/>
          <w:b/>
          <w:sz w:val="24"/>
          <w:szCs w:val="24"/>
        </w:rPr>
        <w:t>.1</w:t>
      </w:r>
      <w:r w:rsidR="00E71F8F" w:rsidRPr="004058DB">
        <w:rPr>
          <w:rFonts w:ascii="Times New Roman" w:hAnsi="Times New Roman"/>
          <w:b/>
          <w:sz w:val="24"/>
          <w:szCs w:val="24"/>
        </w:rPr>
        <w:t>2</w:t>
      </w:r>
    </w:p>
    <w:p w14:paraId="3833D3C0" w14:textId="77777777" w:rsidR="00BF6B2D" w:rsidRPr="007307BD" w:rsidRDefault="00BF6B2D" w:rsidP="00BF6B2D">
      <w:pPr>
        <w:rPr>
          <w:rFonts w:ascii="Times New Roman" w:hAnsi="Times New Roman"/>
          <w:b/>
          <w:color w:val="000000"/>
          <w:sz w:val="24"/>
          <w:szCs w:val="24"/>
        </w:rPr>
      </w:pPr>
      <w:r w:rsidRPr="004058DB">
        <w:rPr>
          <w:rFonts w:ascii="Times New Roman" w:hAnsi="Times New Roman"/>
          <w:b/>
          <w:sz w:val="24"/>
          <w:szCs w:val="24"/>
        </w:rPr>
        <w:t xml:space="preserve">9. </w:t>
      </w:r>
      <w:r w:rsidRPr="007307BD">
        <w:rPr>
          <w:rFonts w:ascii="Times New Roman" w:hAnsi="Times New Roman"/>
          <w:b/>
          <w:color w:val="000000"/>
          <w:sz w:val="24"/>
          <w:szCs w:val="24"/>
        </w:rPr>
        <w:t>Минимален и максимален размер на безвъзмездната финансова помощ за конкретен проект……………………………………………………………………………</w:t>
      </w:r>
      <w:r w:rsidR="00E71F8F" w:rsidRPr="007307BD">
        <w:rPr>
          <w:rFonts w:ascii="Times New Roman" w:hAnsi="Times New Roman"/>
          <w:b/>
          <w:color w:val="000000"/>
          <w:sz w:val="24"/>
          <w:szCs w:val="24"/>
        </w:rPr>
        <w:t>..</w:t>
      </w:r>
      <w:r w:rsidRPr="007307BD">
        <w:rPr>
          <w:rFonts w:ascii="Times New Roman" w:hAnsi="Times New Roman"/>
          <w:b/>
          <w:color w:val="000000"/>
          <w:sz w:val="24"/>
          <w:szCs w:val="24"/>
        </w:rPr>
        <w:t>1</w:t>
      </w:r>
      <w:r w:rsidR="00E71F8F" w:rsidRPr="007307BD">
        <w:rPr>
          <w:rFonts w:ascii="Times New Roman" w:hAnsi="Times New Roman"/>
          <w:b/>
          <w:color w:val="000000"/>
          <w:sz w:val="24"/>
          <w:szCs w:val="24"/>
        </w:rPr>
        <w:t>2</w:t>
      </w:r>
    </w:p>
    <w:p w14:paraId="374F3AAD" w14:textId="77777777" w:rsidR="00BF6B2D" w:rsidRPr="007307BD" w:rsidRDefault="00BF6B2D" w:rsidP="00BF6B2D">
      <w:pPr>
        <w:rPr>
          <w:rFonts w:ascii="Times New Roman" w:hAnsi="Times New Roman"/>
          <w:b/>
          <w:color w:val="000000"/>
          <w:sz w:val="24"/>
          <w:szCs w:val="24"/>
        </w:rPr>
      </w:pPr>
      <w:r w:rsidRPr="007307BD">
        <w:rPr>
          <w:rFonts w:ascii="Times New Roman" w:hAnsi="Times New Roman"/>
          <w:b/>
          <w:color w:val="000000"/>
          <w:sz w:val="24"/>
          <w:szCs w:val="24"/>
        </w:rPr>
        <w:t>10. Процент на съфинансиране…………………………………………………………….</w:t>
      </w:r>
      <w:r w:rsidR="00E71F8F" w:rsidRPr="007307BD">
        <w:rPr>
          <w:rFonts w:ascii="Times New Roman" w:hAnsi="Times New Roman"/>
          <w:b/>
          <w:color w:val="000000"/>
          <w:sz w:val="24"/>
          <w:szCs w:val="24"/>
        </w:rPr>
        <w:t>..</w:t>
      </w:r>
      <w:r w:rsidRPr="007307BD">
        <w:rPr>
          <w:rFonts w:ascii="Times New Roman" w:hAnsi="Times New Roman"/>
          <w:b/>
          <w:color w:val="000000"/>
          <w:sz w:val="24"/>
          <w:szCs w:val="24"/>
        </w:rPr>
        <w:t>1</w:t>
      </w:r>
      <w:r w:rsidR="00A0414A" w:rsidRPr="007307BD">
        <w:rPr>
          <w:rFonts w:ascii="Times New Roman" w:hAnsi="Times New Roman"/>
          <w:b/>
          <w:color w:val="000000"/>
          <w:sz w:val="24"/>
          <w:szCs w:val="24"/>
        </w:rPr>
        <w:t>3</w:t>
      </w:r>
    </w:p>
    <w:p w14:paraId="758AD516" w14:textId="77777777" w:rsidR="00BF6B2D" w:rsidRPr="007307BD" w:rsidRDefault="00BF6B2D" w:rsidP="00BF6B2D">
      <w:pPr>
        <w:rPr>
          <w:rFonts w:ascii="Times New Roman" w:hAnsi="Times New Roman"/>
          <w:b/>
          <w:sz w:val="24"/>
          <w:szCs w:val="24"/>
        </w:rPr>
      </w:pPr>
      <w:r w:rsidRPr="007307BD">
        <w:rPr>
          <w:rFonts w:ascii="Times New Roman" w:hAnsi="Times New Roman"/>
          <w:b/>
          <w:color w:val="000000"/>
          <w:sz w:val="24"/>
          <w:szCs w:val="24"/>
        </w:rPr>
        <w:t>11. Допустими кандидати</w:t>
      </w:r>
      <w:r w:rsidRPr="007307BD">
        <w:rPr>
          <w:rFonts w:ascii="Times New Roman" w:hAnsi="Times New Roman"/>
          <w:b/>
          <w:sz w:val="24"/>
          <w:szCs w:val="24"/>
        </w:rPr>
        <w:t xml:space="preserve"> …………………………………………………………………</w:t>
      </w:r>
      <w:r w:rsidR="00E71F8F" w:rsidRPr="007307BD">
        <w:rPr>
          <w:rFonts w:ascii="Times New Roman" w:hAnsi="Times New Roman"/>
          <w:b/>
          <w:sz w:val="24"/>
          <w:szCs w:val="24"/>
        </w:rPr>
        <w:t>…</w:t>
      </w:r>
      <w:r w:rsidRPr="007307BD">
        <w:rPr>
          <w:rFonts w:ascii="Times New Roman" w:hAnsi="Times New Roman"/>
          <w:b/>
          <w:sz w:val="24"/>
          <w:szCs w:val="24"/>
        </w:rPr>
        <w:t>1</w:t>
      </w:r>
      <w:r w:rsidR="00A0414A" w:rsidRPr="007307BD">
        <w:rPr>
          <w:rFonts w:ascii="Times New Roman" w:hAnsi="Times New Roman"/>
          <w:b/>
          <w:sz w:val="24"/>
          <w:szCs w:val="24"/>
        </w:rPr>
        <w:t>3</w:t>
      </w:r>
    </w:p>
    <w:p w14:paraId="6A1DAFD1" w14:textId="77777777" w:rsidR="00BF6B2D" w:rsidRPr="004058DB" w:rsidRDefault="00BF6B2D" w:rsidP="00BF6B2D">
      <w:pPr>
        <w:rPr>
          <w:rFonts w:ascii="Times New Roman" w:hAnsi="Times New Roman"/>
          <w:b/>
          <w:sz w:val="24"/>
          <w:szCs w:val="24"/>
        </w:rPr>
      </w:pPr>
      <w:r w:rsidRPr="00210955">
        <w:rPr>
          <w:rFonts w:ascii="Times New Roman" w:hAnsi="Times New Roman"/>
          <w:b/>
          <w:sz w:val="24"/>
          <w:szCs w:val="24"/>
        </w:rPr>
        <w:t>11.1 Общи изисквания на кандидатите и пъртньориа/ите……………………………</w:t>
      </w:r>
      <w:r w:rsidR="00E71F8F" w:rsidRPr="004058DB">
        <w:rPr>
          <w:rFonts w:ascii="Times New Roman" w:hAnsi="Times New Roman"/>
          <w:b/>
          <w:sz w:val="24"/>
          <w:szCs w:val="24"/>
        </w:rPr>
        <w:t>.</w:t>
      </w:r>
      <w:r w:rsidRPr="004058DB">
        <w:rPr>
          <w:rFonts w:ascii="Times New Roman" w:hAnsi="Times New Roman"/>
          <w:b/>
          <w:sz w:val="24"/>
          <w:szCs w:val="24"/>
        </w:rPr>
        <w:t>.</w:t>
      </w:r>
      <w:r w:rsidR="00A0414A" w:rsidRPr="004058DB">
        <w:rPr>
          <w:rFonts w:ascii="Times New Roman" w:hAnsi="Times New Roman"/>
          <w:b/>
          <w:sz w:val="24"/>
          <w:szCs w:val="24"/>
        </w:rPr>
        <w:t>.</w:t>
      </w:r>
      <w:r w:rsidRPr="004058DB">
        <w:rPr>
          <w:rFonts w:ascii="Times New Roman" w:hAnsi="Times New Roman"/>
          <w:b/>
          <w:sz w:val="24"/>
          <w:szCs w:val="24"/>
        </w:rPr>
        <w:t>.1</w:t>
      </w:r>
      <w:r w:rsidR="00A0414A" w:rsidRPr="004058DB">
        <w:rPr>
          <w:rFonts w:ascii="Times New Roman" w:hAnsi="Times New Roman"/>
          <w:b/>
          <w:sz w:val="24"/>
          <w:szCs w:val="24"/>
        </w:rPr>
        <w:t>3</w:t>
      </w:r>
    </w:p>
    <w:p w14:paraId="0FEEC476"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11.2 Специфични  изисквания за допустимост на кандидата…………………………</w:t>
      </w:r>
      <w:r w:rsidR="00E71F8F" w:rsidRPr="004058DB">
        <w:rPr>
          <w:rFonts w:ascii="Times New Roman" w:hAnsi="Times New Roman"/>
          <w:b/>
          <w:sz w:val="24"/>
          <w:szCs w:val="24"/>
        </w:rPr>
        <w:t>.</w:t>
      </w:r>
      <w:r w:rsidRPr="004058DB">
        <w:rPr>
          <w:rFonts w:ascii="Times New Roman" w:hAnsi="Times New Roman"/>
          <w:b/>
          <w:sz w:val="24"/>
          <w:szCs w:val="24"/>
        </w:rPr>
        <w:t>.</w:t>
      </w:r>
      <w:r w:rsidR="00A0414A" w:rsidRPr="004058DB">
        <w:rPr>
          <w:rFonts w:ascii="Times New Roman" w:hAnsi="Times New Roman"/>
          <w:b/>
          <w:sz w:val="24"/>
          <w:szCs w:val="24"/>
        </w:rPr>
        <w:t>.</w:t>
      </w:r>
      <w:r w:rsidRPr="004058DB">
        <w:rPr>
          <w:rFonts w:ascii="Times New Roman" w:hAnsi="Times New Roman"/>
          <w:b/>
          <w:sz w:val="24"/>
          <w:szCs w:val="24"/>
        </w:rPr>
        <w:t>1</w:t>
      </w:r>
      <w:r w:rsidR="00A0414A" w:rsidRPr="004058DB">
        <w:rPr>
          <w:rFonts w:ascii="Times New Roman" w:hAnsi="Times New Roman"/>
          <w:b/>
          <w:sz w:val="24"/>
          <w:szCs w:val="24"/>
        </w:rPr>
        <w:t>4</w:t>
      </w:r>
    </w:p>
    <w:p w14:paraId="55F3AD0C"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12. Допустими партньори…………………………………………………………………...1</w:t>
      </w:r>
      <w:r w:rsidR="00A0414A" w:rsidRPr="004058DB">
        <w:rPr>
          <w:rFonts w:ascii="Times New Roman" w:hAnsi="Times New Roman"/>
          <w:b/>
          <w:sz w:val="24"/>
          <w:szCs w:val="24"/>
        </w:rPr>
        <w:t>6</w:t>
      </w:r>
    </w:p>
    <w:p w14:paraId="00427876"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12.1 Общи изисквания за парт</w:t>
      </w:r>
      <w:r w:rsidR="00E71F8F" w:rsidRPr="004058DB">
        <w:rPr>
          <w:rFonts w:ascii="Times New Roman" w:hAnsi="Times New Roman"/>
          <w:b/>
          <w:sz w:val="24"/>
          <w:szCs w:val="24"/>
        </w:rPr>
        <w:t>ньорствата………………………………………………..1</w:t>
      </w:r>
      <w:r w:rsidR="00A0414A" w:rsidRPr="004058DB">
        <w:rPr>
          <w:rFonts w:ascii="Times New Roman" w:hAnsi="Times New Roman"/>
          <w:b/>
          <w:sz w:val="24"/>
          <w:szCs w:val="24"/>
        </w:rPr>
        <w:t>6</w:t>
      </w:r>
    </w:p>
    <w:p w14:paraId="1113E4D7"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12.2 Специфични изисквания за допустимост на партньора/ите</w:t>
      </w:r>
      <w:r w:rsidRPr="004058DB">
        <w:rPr>
          <w:rFonts w:ascii="Times New Roman" w:hAnsi="Times New Roman"/>
          <w:b/>
          <w:sz w:val="24"/>
          <w:szCs w:val="24"/>
          <w:lang w:val="ru-RU"/>
        </w:rPr>
        <w:t>(</w:t>
      </w:r>
      <w:r w:rsidRPr="004058DB">
        <w:rPr>
          <w:rFonts w:ascii="Times New Roman" w:hAnsi="Times New Roman"/>
          <w:b/>
          <w:sz w:val="24"/>
          <w:szCs w:val="24"/>
        </w:rPr>
        <w:t>ако е приложимо за процедурата</w:t>
      </w:r>
      <w:r w:rsidRPr="004058DB">
        <w:rPr>
          <w:rFonts w:ascii="Times New Roman" w:hAnsi="Times New Roman"/>
          <w:b/>
          <w:sz w:val="24"/>
          <w:szCs w:val="24"/>
          <w:lang w:val="ru-RU"/>
        </w:rPr>
        <w:t>)</w:t>
      </w:r>
      <w:r w:rsidRPr="004058DB">
        <w:rPr>
          <w:rFonts w:ascii="Times New Roman" w:hAnsi="Times New Roman"/>
          <w:b/>
          <w:sz w:val="24"/>
          <w:szCs w:val="24"/>
        </w:rPr>
        <w:t>…………………………………………………………………………………..1</w:t>
      </w:r>
      <w:r w:rsidR="00A0414A" w:rsidRPr="004058DB">
        <w:rPr>
          <w:rFonts w:ascii="Times New Roman" w:hAnsi="Times New Roman"/>
          <w:b/>
          <w:sz w:val="24"/>
          <w:szCs w:val="24"/>
        </w:rPr>
        <w:t>6</w:t>
      </w:r>
    </w:p>
    <w:p w14:paraId="433ED8C2"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13. Дейности, допустими за финансиране…………………………………………………1</w:t>
      </w:r>
      <w:r w:rsidR="00A0414A" w:rsidRPr="004058DB">
        <w:rPr>
          <w:rFonts w:ascii="Times New Roman" w:hAnsi="Times New Roman"/>
          <w:b/>
          <w:sz w:val="24"/>
          <w:szCs w:val="24"/>
        </w:rPr>
        <w:t>6</w:t>
      </w:r>
    </w:p>
    <w:p w14:paraId="5D0E6BB7"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13.1 Общи изисквания за дейностите……………………………………………………....1</w:t>
      </w:r>
      <w:r w:rsidR="00A0414A" w:rsidRPr="004058DB">
        <w:rPr>
          <w:rFonts w:ascii="Times New Roman" w:hAnsi="Times New Roman"/>
          <w:b/>
          <w:sz w:val="24"/>
          <w:szCs w:val="24"/>
        </w:rPr>
        <w:t>6</w:t>
      </w:r>
    </w:p>
    <w:p w14:paraId="0D472459"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13.2 Допустими дейности…………………………………………………………………….1</w:t>
      </w:r>
      <w:r w:rsidR="00A0414A" w:rsidRPr="004058DB">
        <w:rPr>
          <w:rFonts w:ascii="Times New Roman" w:hAnsi="Times New Roman"/>
          <w:b/>
          <w:sz w:val="24"/>
          <w:szCs w:val="24"/>
        </w:rPr>
        <w:t>7</w:t>
      </w:r>
    </w:p>
    <w:p w14:paraId="7D4A2E24"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 Категории разходи, допустими за</w:t>
      </w:r>
      <w:r w:rsidR="00E71F8F" w:rsidRPr="004058DB">
        <w:rPr>
          <w:rFonts w:ascii="Times New Roman" w:hAnsi="Times New Roman"/>
          <w:b/>
          <w:sz w:val="24"/>
          <w:szCs w:val="24"/>
        </w:rPr>
        <w:t xml:space="preserve"> финансиране……………………………………...2</w:t>
      </w:r>
      <w:r w:rsidR="00A0414A" w:rsidRPr="004058DB">
        <w:rPr>
          <w:rFonts w:ascii="Times New Roman" w:hAnsi="Times New Roman"/>
          <w:b/>
          <w:sz w:val="24"/>
          <w:szCs w:val="24"/>
        </w:rPr>
        <w:t>5</w:t>
      </w:r>
    </w:p>
    <w:p w14:paraId="21D903AE"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14.1 Общи правила за допустимост на разходите………………………………………...2</w:t>
      </w:r>
      <w:r w:rsidR="00A0414A" w:rsidRPr="004058DB">
        <w:rPr>
          <w:rFonts w:ascii="Times New Roman" w:hAnsi="Times New Roman"/>
          <w:b/>
          <w:sz w:val="24"/>
          <w:szCs w:val="24"/>
        </w:rPr>
        <w:t>5</w:t>
      </w:r>
    </w:p>
    <w:p w14:paraId="1D6EF391"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14.2 Указания за попълване на бюджета…………………………………………………..2</w:t>
      </w:r>
      <w:r w:rsidR="00A0414A" w:rsidRPr="004058DB">
        <w:rPr>
          <w:rFonts w:ascii="Times New Roman" w:hAnsi="Times New Roman"/>
          <w:b/>
          <w:sz w:val="24"/>
          <w:szCs w:val="24"/>
        </w:rPr>
        <w:t>6</w:t>
      </w:r>
    </w:p>
    <w:p w14:paraId="4482D4D9"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14.3 Допустими разходи……………………………………………………………………</w:t>
      </w:r>
      <w:r w:rsidR="00E71F8F" w:rsidRPr="004058DB">
        <w:rPr>
          <w:rFonts w:ascii="Times New Roman" w:hAnsi="Times New Roman"/>
          <w:b/>
          <w:sz w:val="24"/>
          <w:szCs w:val="24"/>
        </w:rPr>
        <w:t>…</w:t>
      </w:r>
      <w:r w:rsidRPr="004058DB">
        <w:rPr>
          <w:rFonts w:ascii="Times New Roman" w:hAnsi="Times New Roman"/>
          <w:b/>
          <w:sz w:val="24"/>
          <w:szCs w:val="24"/>
        </w:rPr>
        <w:t>2</w:t>
      </w:r>
      <w:r w:rsidR="00A0414A" w:rsidRPr="004058DB">
        <w:rPr>
          <w:rFonts w:ascii="Times New Roman" w:hAnsi="Times New Roman"/>
          <w:b/>
          <w:sz w:val="24"/>
          <w:szCs w:val="24"/>
        </w:rPr>
        <w:t>8</w:t>
      </w:r>
    </w:p>
    <w:p w14:paraId="6A2C5422"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14.4 Недопустими разходи……………………………………………………………………</w:t>
      </w:r>
      <w:r w:rsidR="00E71F8F" w:rsidRPr="004058DB">
        <w:rPr>
          <w:rFonts w:ascii="Times New Roman" w:hAnsi="Times New Roman"/>
          <w:b/>
          <w:sz w:val="24"/>
          <w:szCs w:val="24"/>
        </w:rPr>
        <w:t>3</w:t>
      </w:r>
      <w:r w:rsidR="00A0414A" w:rsidRPr="004058DB">
        <w:rPr>
          <w:rFonts w:ascii="Times New Roman" w:hAnsi="Times New Roman"/>
          <w:b/>
          <w:sz w:val="24"/>
          <w:szCs w:val="24"/>
        </w:rPr>
        <w:t>3</w:t>
      </w:r>
    </w:p>
    <w:p w14:paraId="41A48B3F" w14:textId="77777777" w:rsidR="00BF6B2D" w:rsidRDefault="00BF6B2D" w:rsidP="00BF6B2D">
      <w:pPr>
        <w:rPr>
          <w:rFonts w:ascii="Times New Roman" w:hAnsi="Times New Roman"/>
          <w:b/>
          <w:sz w:val="24"/>
          <w:szCs w:val="24"/>
        </w:rPr>
      </w:pPr>
      <w:r w:rsidRPr="004058DB">
        <w:rPr>
          <w:rFonts w:ascii="Times New Roman" w:hAnsi="Times New Roman"/>
          <w:b/>
          <w:sz w:val="24"/>
          <w:szCs w:val="24"/>
        </w:rPr>
        <w:lastRenderedPageBreak/>
        <w:t>15. Допустими целеви групи…………………………………………………………………</w:t>
      </w:r>
      <w:r w:rsidR="00E71F8F">
        <w:rPr>
          <w:rFonts w:ascii="Times New Roman" w:hAnsi="Times New Roman"/>
          <w:b/>
          <w:sz w:val="24"/>
          <w:szCs w:val="24"/>
        </w:rPr>
        <w:t>3</w:t>
      </w:r>
      <w:r w:rsidR="00A0414A">
        <w:rPr>
          <w:rFonts w:ascii="Times New Roman" w:hAnsi="Times New Roman"/>
          <w:b/>
          <w:sz w:val="24"/>
          <w:szCs w:val="24"/>
        </w:rPr>
        <w:t>4</w:t>
      </w:r>
    </w:p>
    <w:p w14:paraId="607EC321" w14:textId="77777777" w:rsidR="00BF6B2D" w:rsidRDefault="00BF6B2D" w:rsidP="00BF6B2D">
      <w:pPr>
        <w:rPr>
          <w:rFonts w:ascii="Times New Roman" w:hAnsi="Times New Roman"/>
          <w:b/>
          <w:sz w:val="24"/>
          <w:szCs w:val="24"/>
        </w:rPr>
      </w:pPr>
      <w:r>
        <w:rPr>
          <w:rFonts w:ascii="Times New Roman" w:hAnsi="Times New Roman"/>
          <w:b/>
          <w:sz w:val="24"/>
          <w:szCs w:val="24"/>
        </w:rPr>
        <w:t>16. Приложими режим на минимални/държавни помощи</w:t>
      </w:r>
      <w:r w:rsidRPr="00231C97">
        <w:rPr>
          <w:rFonts w:ascii="Times New Roman" w:hAnsi="Times New Roman"/>
          <w:b/>
          <w:sz w:val="24"/>
          <w:szCs w:val="24"/>
          <w:lang w:val="ru-RU"/>
        </w:rPr>
        <w:t>(</w:t>
      </w:r>
      <w:r>
        <w:rPr>
          <w:rFonts w:ascii="Times New Roman" w:hAnsi="Times New Roman"/>
          <w:b/>
          <w:sz w:val="24"/>
          <w:szCs w:val="24"/>
        </w:rPr>
        <w:t>ако е приложимо</w:t>
      </w:r>
      <w:r w:rsidRPr="00231C97">
        <w:rPr>
          <w:rFonts w:ascii="Times New Roman" w:hAnsi="Times New Roman"/>
          <w:b/>
          <w:sz w:val="24"/>
          <w:szCs w:val="24"/>
          <w:lang w:val="ru-RU"/>
        </w:rPr>
        <w:t>)</w:t>
      </w:r>
      <w:r w:rsidR="00E71F8F">
        <w:rPr>
          <w:rFonts w:ascii="Times New Roman" w:hAnsi="Times New Roman"/>
          <w:b/>
          <w:sz w:val="24"/>
          <w:szCs w:val="24"/>
        </w:rPr>
        <w:t>………..3</w:t>
      </w:r>
      <w:r w:rsidR="00A0414A">
        <w:rPr>
          <w:rFonts w:ascii="Times New Roman" w:hAnsi="Times New Roman"/>
          <w:b/>
          <w:sz w:val="24"/>
          <w:szCs w:val="24"/>
        </w:rPr>
        <w:t>5</w:t>
      </w:r>
    </w:p>
    <w:p w14:paraId="7A10C19F" w14:textId="77777777" w:rsidR="00BF6B2D" w:rsidRDefault="00BF6B2D" w:rsidP="00BF6B2D">
      <w:pPr>
        <w:rPr>
          <w:rFonts w:ascii="Times New Roman" w:hAnsi="Times New Roman"/>
          <w:b/>
          <w:sz w:val="24"/>
          <w:szCs w:val="24"/>
        </w:rPr>
      </w:pPr>
      <w:r>
        <w:rPr>
          <w:rFonts w:ascii="Times New Roman" w:hAnsi="Times New Roman"/>
          <w:b/>
          <w:sz w:val="24"/>
          <w:szCs w:val="24"/>
        </w:rPr>
        <w:t>17. Хоризонтални политики…………………………………………………………………</w:t>
      </w:r>
      <w:r w:rsidR="00E71F8F">
        <w:rPr>
          <w:rFonts w:ascii="Times New Roman" w:hAnsi="Times New Roman"/>
          <w:b/>
          <w:sz w:val="24"/>
          <w:szCs w:val="24"/>
        </w:rPr>
        <w:t>3</w:t>
      </w:r>
      <w:r w:rsidR="00A0414A">
        <w:rPr>
          <w:rFonts w:ascii="Times New Roman" w:hAnsi="Times New Roman"/>
          <w:b/>
          <w:sz w:val="24"/>
          <w:szCs w:val="24"/>
        </w:rPr>
        <w:t>9</w:t>
      </w:r>
    </w:p>
    <w:p w14:paraId="6FE0DB88" w14:textId="77777777" w:rsidR="00BF6B2D" w:rsidRDefault="00BF6B2D" w:rsidP="00BF6B2D">
      <w:pPr>
        <w:rPr>
          <w:rFonts w:ascii="Times New Roman" w:hAnsi="Times New Roman"/>
          <w:b/>
          <w:sz w:val="24"/>
          <w:szCs w:val="24"/>
        </w:rPr>
      </w:pPr>
      <w:r>
        <w:rPr>
          <w:rFonts w:ascii="Times New Roman" w:hAnsi="Times New Roman"/>
          <w:b/>
          <w:sz w:val="24"/>
          <w:szCs w:val="24"/>
        </w:rPr>
        <w:t>18. Минимален и максимален срок за изпълнение на проекта</w:t>
      </w:r>
      <w:r w:rsidRPr="00231C97">
        <w:rPr>
          <w:rFonts w:ascii="Times New Roman" w:hAnsi="Times New Roman"/>
          <w:b/>
          <w:sz w:val="24"/>
          <w:szCs w:val="24"/>
          <w:lang w:val="ru-RU"/>
        </w:rPr>
        <w:t>(</w:t>
      </w:r>
      <w:r>
        <w:rPr>
          <w:rFonts w:ascii="Times New Roman" w:hAnsi="Times New Roman"/>
          <w:b/>
          <w:sz w:val="24"/>
          <w:szCs w:val="24"/>
        </w:rPr>
        <w:t>ако е приложимо</w:t>
      </w:r>
      <w:r w:rsidRPr="00231C97">
        <w:rPr>
          <w:rFonts w:ascii="Times New Roman" w:hAnsi="Times New Roman"/>
          <w:b/>
          <w:sz w:val="24"/>
          <w:szCs w:val="24"/>
          <w:lang w:val="ru-RU"/>
        </w:rPr>
        <w:t>)</w:t>
      </w:r>
      <w:r w:rsidR="00E71F8F">
        <w:rPr>
          <w:rFonts w:ascii="Times New Roman" w:hAnsi="Times New Roman"/>
          <w:b/>
          <w:sz w:val="24"/>
          <w:szCs w:val="24"/>
        </w:rPr>
        <w:t>…..</w:t>
      </w:r>
      <w:r w:rsidR="00A0414A">
        <w:rPr>
          <w:rFonts w:ascii="Times New Roman" w:hAnsi="Times New Roman"/>
          <w:b/>
          <w:sz w:val="24"/>
          <w:szCs w:val="24"/>
        </w:rPr>
        <w:t>41</w:t>
      </w:r>
    </w:p>
    <w:p w14:paraId="2052EA77" w14:textId="77777777" w:rsidR="00BF6B2D" w:rsidRDefault="00BF6B2D" w:rsidP="00BF6B2D">
      <w:pPr>
        <w:rPr>
          <w:rFonts w:ascii="Times New Roman" w:hAnsi="Times New Roman"/>
          <w:b/>
          <w:sz w:val="24"/>
          <w:szCs w:val="24"/>
        </w:rPr>
      </w:pPr>
      <w:r>
        <w:rPr>
          <w:rFonts w:ascii="Times New Roman" w:hAnsi="Times New Roman"/>
          <w:b/>
          <w:sz w:val="24"/>
          <w:szCs w:val="24"/>
        </w:rPr>
        <w:t>19. Ред за оценяване на проектни</w:t>
      </w:r>
      <w:r w:rsidR="00E71F8F">
        <w:rPr>
          <w:rFonts w:ascii="Times New Roman" w:hAnsi="Times New Roman"/>
          <w:b/>
          <w:sz w:val="24"/>
          <w:szCs w:val="24"/>
        </w:rPr>
        <w:t>те предложения………………………………………..4</w:t>
      </w:r>
      <w:r w:rsidR="00A0414A">
        <w:rPr>
          <w:rFonts w:ascii="Times New Roman" w:hAnsi="Times New Roman"/>
          <w:b/>
          <w:sz w:val="24"/>
          <w:szCs w:val="24"/>
        </w:rPr>
        <w:t>1</w:t>
      </w:r>
    </w:p>
    <w:p w14:paraId="27F9AD06" w14:textId="77777777" w:rsidR="00BF6B2D" w:rsidRDefault="00BF6B2D" w:rsidP="00BF6B2D">
      <w:pPr>
        <w:rPr>
          <w:rFonts w:ascii="Times New Roman" w:hAnsi="Times New Roman"/>
          <w:b/>
          <w:sz w:val="24"/>
          <w:szCs w:val="24"/>
        </w:rPr>
      </w:pPr>
      <w:r>
        <w:rPr>
          <w:rFonts w:ascii="Times New Roman" w:hAnsi="Times New Roman"/>
          <w:b/>
          <w:sz w:val="24"/>
          <w:szCs w:val="24"/>
        </w:rPr>
        <w:t>20. Критерии и методика за оценка на проектните предложения…………………….</w:t>
      </w:r>
      <w:r w:rsidR="00E71F8F">
        <w:rPr>
          <w:rFonts w:ascii="Times New Roman" w:hAnsi="Times New Roman"/>
          <w:b/>
          <w:sz w:val="24"/>
          <w:szCs w:val="24"/>
        </w:rPr>
        <w:t>..42</w:t>
      </w:r>
    </w:p>
    <w:p w14:paraId="306F9832" w14:textId="77777777" w:rsidR="00BF6B2D" w:rsidRDefault="00BF6B2D" w:rsidP="00BF6B2D">
      <w:pPr>
        <w:rPr>
          <w:rFonts w:ascii="Times New Roman" w:hAnsi="Times New Roman"/>
          <w:b/>
          <w:sz w:val="24"/>
          <w:szCs w:val="24"/>
        </w:rPr>
      </w:pPr>
      <w:r>
        <w:rPr>
          <w:rFonts w:ascii="Times New Roman" w:hAnsi="Times New Roman"/>
          <w:b/>
          <w:sz w:val="24"/>
          <w:szCs w:val="24"/>
        </w:rPr>
        <w:t>21. Начина на подаване на проектните предложения…………………………………...</w:t>
      </w:r>
      <w:r w:rsidR="00E71F8F">
        <w:rPr>
          <w:rFonts w:ascii="Times New Roman" w:hAnsi="Times New Roman"/>
          <w:b/>
          <w:sz w:val="24"/>
          <w:szCs w:val="24"/>
        </w:rPr>
        <w:t>.42</w:t>
      </w:r>
    </w:p>
    <w:p w14:paraId="442E87E9" w14:textId="77777777" w:rsidR="00BF6B2D" w:rsidRDefault="00BF6B2D" w:rsidP="00BF6B2D">
      <w:pPr>
        <w:rPr>
          <w:rFonts w:ascii="Times New Roman" w:hAnsi="Times New Roman"/>
          <w:b/>
          <w:sz w:val="24"/>
          <w:szCs w:val="24"/>
        </w:rPr>
      </w:pPr>
      <w:r>
        <w:rPr>
          <w:rFonts w:ascii="Times New Roman" w:hAnsi="Times New Roman"/>
          <w:b/>
          <w:sz w:val="24"/>
          <w:szCs w:val="24"/>
        </w:rPr>
        <w:t>22. Списък на документите, които се подават на етап кандидатстване……………....</w:t>
      </w:r>
      <w:r w:rsidR="00E71F8F">
        <w:rPr>
          <w:rFonts w:ascii="Times New Roman" w:hAnsi="Times New Roman"/>
          <w:b/>
          <w:sz w:val="24"/>
          <w:szCs w:val="24"/>
        </w:rPr>
        <w:t>.43</w:t>
      </w:r>
    </w:p>
    <w:p w14:paraId="4820D601" w14:textId="77777777" w:rsidR="00BF6B2D" w:rsidRDefault="00BF6B2D" w:rsidP="00BF6B2D">
      <w:pPr>
        <w:rPr>
          <w:rFonts w:ascii="Times New Roman" w:hAnsi="Times New Roman"/>
          <w:b/>
          <w:sz w:val="24"/>
          <w:szCs w:val="24"/>
        </w:rPr>
      </w:pPr>
      <w:r>
        <w:rPr>
          <w:rFonts w:ascii="Times New Roman" w:hAnsi="Times New Roman"/>
          <w:b/>
          <w:sz w:val="24"/>
          <w:szCs w:val="24"/>
        </w:rPr>
        <w:t>23. Срокове за подаване на проектните предложения………………………………</w:t>
      </w:r>
      <w:r w:rsidR="00E71F8F">
        <w:rPr>
          <w:rFonts w:ascii="Times New Roman" w:hAnsi="Times New Roman"/>
          <w:b/>
          <w:sz w:val="24"/>
          <w:szCs w:val="24"/>
        </w:rPr>
        <w:t>..</w:t>
      </w:r>
      <w:r>
        <w:rPr>
          <w:rFonts w:ascii="Times New Roman" w:hAnsi="Times New Roman"/>
          <w:b/>
          <w:sz w:val="24"/>
          <w:szCs w:val="24"/>
        </w:rPr>
        <w:t>….4</w:t>
      </w:r>
      <w:r w:rsidR="00A0414A">
        <w:rPr>
          <w:rFonts w:ascii="Times New Roman" w:hAnsi="Times New Roman"/>
          <w:b/>
          <w:sz w:val="24"/>
          <w:szCs w:val="24"/>
        </w:rPr>
        <w:t>6</w:t>
      </w:r>
    </w:p>
    <w:p w14:paraId="2EBEAE78" w14:textId="77777777" w:rsidR="00BF6B2D" w:rsidRDefault="00BF6B2D" w:rsidP="00BF6B2D">
      <w:pPr>
        <w:rPr>
          <w:rFonts w:ascii="Times New Roman" w:hAnsi="Times New Roman"/>
          <w:b/>
          <w:sz w:val="24"/>
          <w:szCs w:val="24"/>
        </w:rPr>
      </w:pPr>
      <w:r>
        <w:rPr>
          <w:rFonts w:ascii="Times New Roman" w:hAnsi="Times New Roman"/>
          <w:b/>
          <w:sz w:val="24"/>
          <w:szCs w:val="24"/>
        </w:rPr>
        <w:t>24. Допълнителни изисквания……………………………………………………………</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6</w:t>
      </w:r>
    </w:p>
    <w:p w14:paraId="6437FDB8" w14:textId="77777777" w:rsidR="00BF6B2D" w:rsidRDefault="00BF6B2D" w:rsidP="00BF6B2D">
      <w:pPr>
        <w:rPr>
          <w:rFonts w:ascii="Times New Roman" w:hAnsi="Times New Roman"/>
          <w:b/>
          <w:sz w:val="24"/>
          <w:szCs w:val="24"/>
        </w:rPr>
      </w:pPr>
      <w:r>
        <w:rPr>
          <w:rFonts w:ascii="Times New Roman" w:hAnsi="Times New Roman"/>
          <w:b/>
          <w:sz w:val="24"/>
          <w:szCs w:val="24"/>
        </w:rPr>
        <w:t>24.1 Изпълнители……………………………………………………………………………</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6</w:t>
      </w:r>
    </w:p>
    <w:p w14:paraId="530D6AA9" w14:textId="77777777" w:rsidR="00BF6B2D" w:rsidRDefault="00BF6B2D" w:rsidP="00BF6B2D">
      <w:pPr>
        <w:rPr>
          <w:rFonts w:ascii="Times New Roman" w:hAnsi="Times New Roman"/>
          <w:b/>
          <w:sz w:val="24"/>
          <w:szCs w:val="24"/>
        </w:rPr>
      </w:pPr>
      <w:r>
        <w:rPr>
          <w:rFonts w:ascii="Times New Roman" w:hAnsi="Times New Roman"/>
          <w:b/>
          <w:sz w:val="24"/>
          <w:szCs w:val="24"/>
        </w:rPr>
        <w:t>24.2 Устойчивост на резултатите…………………………………………………………</w:t>
      </w:r>
      <w:r w:rsidR="00E71F8F">
        <w:rPr>
          <w:rFonts w:ascii="Times New Roman" w:hAnsi="Times New Roman"/>
          <w:b/>
          <w:sz w:val="24"/>
          <w:szCs w:val="24"/>
        </w:rPr>
        <w:t>.</w:t>
      </w:r>
      <w:r>
        <w:rPr>
          <w:rFonts w:ascii="Times New Roman" w:hAnsi="Times New Roman"/>
          <w:b/>
          <w:sz w:val="24"/>
          <w:szCs w:val="24"/>
        </w:rPr>
        <w:t>.</w:t>
      </w:r>
      <w:r w:rsidR="00A0414A">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6</w:t>
      </w:r>
    </w:p>
    <w:p w14:paraId="44C1C809" w14:textId="77777777" w:rsidR="00BF6B2D" w:rsidRDefault="00BF6B2D" w:rsidP="00BF6B2D">
      <w:pPr>
        <w:rPr>
          <w:rFonts w:ascii="Times New Roman" w:hAnsi="Times New Roman"/>
          <w:b/>
          <w:sz w:val="24"/>
          <w:szCs w:val="24"/>
        </w:rPr>
      </w:pPr>
      <w:r>
        <w:rPr>
          <w:rFonts w:ascii="Times New Roman" w:hAnsi="Times New Roman"/>
          <w:b/>
          <w:sz w:val="24"/>
          <w:szCs w:val="24"/>
        </w:rPr>
        <w:t>24.3 Брой предложения и безвъзмездни финансо</w:t>
      </w:r>
      <w:r w:rsidR="00216629">
        <w:rPr>
          <w:rFonts w:ascii="Times New Roman" w:hAnsi="Times New Roman"/>
          <w:b/>
          <w:sz w:val="24"/>
          <w:szCs w:val="24"/>
        </w:rPr>
        <w:t>ви помощи на кандидат ……</w:t>
      </w:r>
      <w:r>
        <w:rPr>
          <w:rFonts w:ascii="Times New Roman" w:hAnsi="Times New Roman"/>
          <w:b/>
          <w:sz w:val="24"/>
          <w:szCs w:val="24"/>
        </w:rPr>
        <w:t>..........</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6</w:t>
      </w:r>
    </w:p>
    <w:p w14:paraId="5923D7A9" w14:textId="77777777" w:rsidR="00BF6B2D" w:rsidRDefault="00BF6B2D" w:rsidP="00BF6B2D">
      <w:pPr>
        <w:rPr>
          <w:rFonts w:ascii="Times New Roman" w:hAnsi="Times New Roman"/>
          <w:b/>
          <w:sz w:val="24"/>
          <w:szCs w:val="24"/>
        </w:rPr>
      </w:pPr>
      <w:r>
        <w:rPr>
          <w:rFonts w:ascii="Times New Roman" w:hAnsi="Times New Roman"/>
          <w:b/>
          <w:sz w:val="24"/>
          <w:szCs w:val="24"/>
        </w:rPr>
        <w:t>24.4 Допълнителни въпроси и разяснения във връзка с Условията за кандидатстване........................................................................................................................</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7</w:t>
      </w:r>
    </w:p>
    <w:p w14:paraId="4F1558CB" w14:textId="77777777" w:rsidR="00BF6B2D" w:rsidRDefault="00BF6B2D" w:rsidP="00BF6B2D">
      <w:pPr>
        <w:rPr>
          <w:rFonts w:ascii="Times New Roman" w:hAnsi="Times New Roman"/>
          <w:b/>
          <w:sz w:val="24"/>
          <w:szCs w:val="24"/>
        </w:rPr>
      </w:pPr>
      <w:r>
        <w:rPr>
          <w:rFonts w:ascii="Times New Roman" w:hAnsi="Times New Roman"/>
          <w:b/>
          <w:sz w:val="24"/>
          <w:szCs w:val="24"/>
        </w:rPr>
        <w:t>24.5 Уведомяване относно предварителното решение на МИГ………………………</w:t>
      </w:r>
      <w:r w:rsidR="00E71F8F">
        <w:rPr>
          <w:rFonts w:ascii="Times New Roman" w:hAnsi="Times New Roman"/>
          <w:b/>
          <w:sz w:val="24"/>
          <w:szCs w:val="24"/>
        </w:rPr>
        <w:t>…</w:t>
      </w:r>
      <w:r>
        <w:rPr>
          <w:rFonts w:ascii="Times New Roman" w:hAnsi="Times New Roman"/>
          <w:b/>
          <w:sz w:val="24"/>
          <w:szCs w:val="24"/>
        </w:rPr>
        <w:t>4</w:t>
      </w:r>
      <w:r w:rsidR="00A0414A">
        <w:rPr>
          <w:rFonts w:ascii="Times New Roman" w:hAnsi="Times New Roman"/>
          <w:b/>
          <w:sz w:val="24"/>
          <w:szCs w:val="24"/>
        </w:rPr>
        <w:t>8</w:t>
      </w:r>
    </w:p>
    <w:p w14:paraId="00FC3AE4" w14:textId="77777777" w:rsidR="00BF6B2D" w:rsidRDefault="00BF6B2D" w:rsidP="00BF6B2D">
      <w:pPr>
        <w:rPr>
          <w:rFonts w:ascii="Times New Roman" w:hAnsi="Times New Roman"/>
          <w:b/>
          <w:sz w:val="24"/>
          <w:szCs w:val="24"/>
        </w:rPr>
      </w:pPr>
      <w:r>
        <w:rPr>
          <w:rFonts w:ascii="Times New Roman" w:hAnsi="Times New Roman"/>
          <w:b/>
          <w:sz w:val="24"/>
          <w:szCs w:val="24"/>
        </w:rPr>
        <w:t>24.6 Процедура за възражения относно оценката………………………………………</w:t>
      </w:r>
      <w:r w:rsidR="00E71F8F">
        <w:rPr>
          <w:rFonts w:ascii="Times New Roman" w:hAnsi="Times New Roman"/>
          <w:b/>
          <w:sz w:val="24"/>
          <w:szCs w:val="24"/>
        </w:rPr>
        <w:t>..</w:t>
      </w:r>
      <w:r>
        <w:rPr>
          <w:rFonts w:ascii="Times New Roman" w:hAnsi="Times New Roman"/>
          <w:b/>
          <w:sz w:val="24"/>
          <w:szCs w:val="24"/>
        </w:rPr>
        <w:t>.4</w:t>
      </w:r>
      <w:r w:rsidR="00A0414A">
        <w:rPr>
          <w:rFonts w:ascii="Times New Roman" w:hAnsi="Times New Roman"/>
          <w:b/>
          <w:sz w:val="24"/>
          <w:szCs w:val="24"/>
        </w:rPr>
        <w:t>8</w:t>
      </w:r>
    </w:p>
    <w:p w14:paraId="676BF9D1" w14:textId="77777777" w:rsidR="00BF6B2D" w:rsidRDefault="00BF6B2D" w:rsidP="00BF6B2D">
      <w:pPr>
        <w:rPr>
          <w:rFonts w:ascii="Times New Roman" w:hAnsi="Times New Roman"/>
          <w:b/>
          <w:sz w:val="24"/>
          <w:szCs w:val="24"/>
        </w:rPr>
      </w:pPr>
      <w:r>
        <w:rPr>
          <w:rFonts w:ascii="Times New Roman" w:hAnsi="Times New Roman"/>
          <w:b/>
          <w:sz w:val="24"/>
          <w:szCs w:val="24"/>
        </w:rPr>
        <w:t>24.7 Представяне на подкрепящи документи към момента на сключване на административния договор……………………………………………………</w:t>
      </w:r>
      <w:r w:rsidR="00E71F8F">
        <w:rPr>
          <w:rFonts w:ascii="Times New Roman" w:hAnsi="Times New Roman"/>
          <w:b/>
          <w:sz w:val="24"/>
          <w:szCs w:val="24"/>
        </w:rPr>
        <w:t>..</w:t>
      </w:r>
      <w:r>
        <w:rPr>
          <w:rFonts w:ascii="Times New Roman" w:hAnsi="Times New Roman"/>
          <w:b/>
          <w:sz w:val="24"/>
          <w:szCs w:val="24"/>
        </w:rPr>
        <w:t>……….….</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8</w:t>
      </w:r>
    </w:p>
    <w:p w14:paraId="345BC196" w14:textId="77777777" w:rsidR="00BF6B2D" w:rsidRDefault="00BF6B2D" w:rsidP="00BF6B2D">
      <w:pPr>
        <w:rPr>
          <w:rFonts w:ascii="Times New Roman" w:hAnsi="Times New Roman"/>
          <w:b/>
          <w:sz w:val="24"/>
          <w:szCs w:val="24"/>
        </w:rPr>
      </w:pPr>
      <w:r>
        <w:rPr>
          <w:rFonts w:ascii="Times New Roman" w:hAnsi="Times New Roman"/>
          <w:b/>
          <w:sz w:val="24"/>
          <w:szCs w:val="24"/>
        </w:rPr>
        <w:t>24.8 Уведомяване относно решението на Управляващия орган……………………</w:t>
      </w:r>
      <w:r w:rsidR="00E71F8F">
        <w:rPr>
          <w:rFonts w:ascii="Times New Roman" w:hAnsi="Times New Roman"/>
          <w:b/>
          <w:sz w:val="24"/>
          <w:szCs w:val="24"/>
        </w:rPr>
        <w:t>….</w:t>
      </w:r>
      <w:r>
        <w:rPr>
          <w:rFonts w:ascii="Times New Roman" w:hAnsi="Times New Roman"/>
          <w:b/>
          <w:sz w:val="24"/>
          <w:szCs w:val="24"/>
        </w:rPr>
        <w:t>5</w:t>
      </w:r>
      <w:r w:rsidR="00E71F8F">
        <w:rPr>
          <w:rFonts w:ascii="Times New Roman" w:hAnsi="Times New Roman"/>
          <w:b/>
          <w:sz w:val="24"/>
          <w:szCs w:val="24"/>
        </w:rPr>
        <w:t>1</w:t>
      </w:r>
    </w:p>
    <w:p w14:paraId="3F1E63B2" w14:textId="77777777" w:rsidR="00BF6B2D" w:rsidRDefault="00BF6B2D" w:rsidP="00BF6B2D">
      <w:pPr>
        <w:rPr>
          <w:rFonts w:ascii="Times New Roman" w:hAnsi="Times New Roman"/>
          <w:b/>
          <w:sz w:val="24"/>
          <w:szCs w:val="24"/>
        </w:rPr>
      </w:pPr>
      <w:r>
        <w:rPr>
          <w:rFonts w:ascii="Times New Roman" w:hAnsi="Times New Roman"/>
          <w:b/>
          <w:sz w:val="24"/>
          <w:szCs w:val="24"/>
        </w:rPr>
        <w:t>24.9 Условия за изпълнение на проекта, след решението на Управляващия орган за предоставяне на безвъзмездна финансова помощ………………………………………</w:t>
      </w:r>
      <w:r w:rsidR="00E71F8F">
        <w:rPr>
          <w:rFonts w:ascii="Times New Roman" w:hAnsi="Times New Roman"/>
          <w:b/>
          <w:sz w:val="24"/>
          <w:szCs w:val="24"/>
        </w:rPr>
        <w:t>..</w:t>
      </w:r>
      <w:r>
        <w:rPr>
          <w:rFonts w:ascii="Times New Roman" w:hAnsi="Times New Roman"/>
          <w:b/>
          <w:sz w:val="24"/>
          <w:szCs w:val="24"/>
        </w:rPr>
        <w:t>5</w:t>
      </w:r>
      <w:r w:rsidR="00A0414A">
        <w:rPr>
          <w:rFonts w:ascii="Times New Roman" w:hAnsi="Times New Roman"/>
          <w:b/>
          <w:sz w:val="24"/>
          <w:szCs w:val="24"/>
        </w:rPr>
        <w:t>3</w:t>
      </w:r>
    </w:p>
    <w:p w14:paraId="0BE37317" w14:textId="77777777" w:rsidR="00BF6B2D" w:rsidRDefault="00BF6B2D" w:rsidP="00BF6B2D">
      <w:pPr>
        <w:rPr>
          <w:rFonts w:ascii="Times New Roman" w:hAnsi="Times New Roman"/>
          <w:b/>
          <w:sz w:val="24"/>
          <w:szCs w:val="24"/>
        </w:rPr>
      </w:pPr>
      <w:r>
        <w:rPr>
          <w:rFonts w:ascii="Times New Roman" w:hAnsi="Times New Roman"/>
          <w:b/>
          <w:sz w:val="24"/>
          <w:szCs w:val="24"/>
        </w:rPr>
        <w:t>25. Приложения към Условията за кандидатстване за кандидатстване .............</w:t>
      </w:r>
      <w:r w:rsidR="00E71F8F">
        <w:rPr>
          <w:rFonts w:ascii="Times New Roman" w:hAnsi="Times New Roman"/>
          <w:b/>
          <w:sz w:val="24"/>
          <w:szCs w:val="24"/>
        </w:rPr>
        <w:t>...</w:t>
      </w:r>
      <w:r>
        <w:rPr>
          <w:rFonts w:ascii="Times New Roman" w:hAnsi="Times New Roman"/>
          <w:b/>
          <w:sz w:val="24"/>
          <w:szCs w:val="24"/>
        </w:rPr>
        <w:t>......5</w:t>
      </w:r>
      <w:r w:rsidR="00E71F8F">
        <w:rPr>
          <w:rFonts w:ascii="Times New Roman" w:hAnsi="Times New Roman"/>
          <w:b/>
          <w:sz w:val="24"/>
          <w:szCs w:val="24"/>
        </w:rPr>
        <w:t>4</w:t>
      </w:r>
    </w:p>
    <w:p w14:paraId="2FC30183" w14:textId="77777777" w:rsidR="00BF6B2D" w:rsidRDefault="00BF6B2D" w:rsidP="00BF6B2D">
      <w:pPr>
        <w:rPr>
          <w:rFonts w:ascii="Times New Roman" w:hAnsi="Times New Roman"/>
          <w:b/>
          <w:sz w:val="24"/>
          <w:szCs w:val="24"/>
        </w:rPr>
      </w:pPr>
      <w:r>
        <w:rPr>
          <w:rFonts w:ascii="Times New Roman" w:hAnsi="Times New Roman"/>
          <w:b/>
          <w:sz w:val="24"/>
          <w:szCs w:val="24"/>
        </w:rPr>
        <w:t>25.1 Документи, които се подават към момента на кандидатстване……………</w:t>
      </w:r>
      <w:r w:rsidR="00E71F8F">
        <w:rPr>
          <w:rFonts w:ascii="Times New Roman" w:hAnsi="Times New Roman"/>
          <w:b/>
          <w:sz w:val="24"/>
          <w:szCs w:val="24"/>
        </w:rPr>
        <w:t>….</w:t>
      </w:r>
      <w:r>
        <w:rPr>
          <w:rFonts w:ascii="Times New Roman" w:hAnsi="Times New Roman"/>
          <w:b/>
          <w:sz w:val="24"/>
          <w:szCs w:val="24"/>
        </w:rPr>
        <w:t>….5</w:t>
      </w:r>
      <w:r w:rsidR="00E71F8F">
        <w:rPr>
          <w:rFonts w:ascii="Times New Roman" w:hAnsi="Times New Roman"/>
          <w:b/>
          <w:sz w:val="24"/>
          <w:szCs w:val="24"/>
        </w:rPr>
        <w:t>4</w:t>
      </w:r>
    </w:p>
    <w:p w14:paraId="671DD55B" w14:textId="77777777" w:rsidR="00BF6B2D" w:rsidRDefault="00BF6B2D" w:rsidP="00BF6B2D">
      <w:pPr>
        <w:rPr>
          <w:rFonts w:ascii="Times New Roman" w:hAnsi="Times New Roman"/>
          <w:b/>
          <w:sz w:val="24"/>
          <w:szCs w:val="24"/>
        </w:rPr>
      </w:pPr>
      <w:r>
        <w:rPr>
          <w:rFonts w:ascii="Times New Roman" w:hAnsi="Times New Roman"/>
          <w:b/>
          <w:sz w:val="24"/>
          <w:szCs w:val="24"/>
        </w:rPr>
        <w:t>25.2 Документи, към момента на подписване на административния договор……</w:t>
      </w:r>
      <w:r w:rsidR="00E71F8F">
        <w:rPr>
          <w:rFonts w:ascii="Times New Roman" w:hAnsi="Times New Roman"/>
          <w:b/>
          <w:sz w:val="24"/>
          <w:szCs w:val="24"/>
        </w:rPr>
        <w:t>….</w:t>
      </w:r>
      <w:r>
        <w:rPr>
          <w:rFonts w:ascii="Times New Roman" w:hAnsi="Times New Roman"/>
          <w:b/>
          <w:sz w:val="24"/>
          <w:szCs w:val="24"/>
        </w:rPr>
        <w:t>5</w:t>
      </w:r>
      <w:r w:rsidR="00E71F8F">
        <w:rPr>
          <w:rFonts w:ascii="Times New Roman" w:hAnsi="Times New Roman"/>
          <w:b/>
          <w:sz w:val="24"/>
          <w:szCs w:val="24"/>
        </w:rPr>
        <w:t>4</w:t>
      </w:r>
    </w:p>
    <w:p w14:paraId="7E8EEAEF" w14:textId="77777777" w:rsidR="00BF6B2D" w:rsidRPr="00860E3F" w:rsidRDefault="00BF6B2D" w:rsidP="00BF6B2D">
      <w:pPr>
        <w:rPr>
          <w:rFonts w:ascii="Times New Roman" w:hAnsi="Times New Roman"/>
          <w:b/>
          <w:sz w:val="24"/>
          <w:szCs w:val="24"/>
        </w:rPr>
      </w:pPr>
      <w:r>
        <w:rPr>
          <w:rFonts w:ascii="Times New Roman" w:hAnsi="Times New Roman"/>
          <w:b/>
          <w:sz w:val="24"/>
          <w:szCs w:val="24"/>
        </w:rPr>
        <w:t>25.3 Документи за информация………………………………………………………..…</w:t>
      </w:r>
      <w:r w:rsidR="00E71F8F">
        <w:rPr>
          <w:rFonts w:ascii="Times New Roman" w:hAnsi="Times New Roman"/>
          <w:b/>
          <w:sz w:val="24"/>
          <w:szCs w:val="24"/>
        </w:rPr>
        <w:t>…</w:t>
      </w:r>
      <w:r>
        <w:rPr>
          <w:rFonts w:ascii="Times New Roman" w:hAnsi="Times New Roman"/>
          <w:b/>
          <w:sz w:val="24"/>
          <w:szCs w:val="24"/>
        </w:rPr>
        <w:t>5</w:t>
      </w:r>
      <w:r w:rsidR="00A0414A">
        <w:rPr>
          <w:rFonts w:ascii="Times New Roman" w:hAnsi="Times New Roman"/>
          <w:b/>
          <w:sz w:val="24"/>
          <w:szCs w:val="24"/>
        </w:rPr>
        <w:t>5</w:t>
      </w:r>
    </w:p>
    <w:p w14:paraId="4BD7BBB9" w14:textId="77777777" w:rsidR="00BF6B2D" w:rsidRDefault="00BF6B2D" w:rsidP="00BF6B2D">
      <w:pPr>
        <w:rPr>
          <w:rFonts w:ascii="Times New Roman" w:hAnsi="Times New Roman"/>
          <w:b/>
          <w:sz w:val="28"/>
          <w:szCs w:val="28"/>
        </w:rPr>
      </w:pPr>
    </w:p>
    <w:p w14:paraId="2E498D70" w14:textId="77777777" w:rsidR="00975DDD" w:rsidRDefault="00975DDD" w:rsidP="00BF6B2D">
      <w:pPr>
        <w:rPr>
          <w:rFonts w:ascii="Times New Roman" w:hAnsi="Times New Roman"/>
          <w:b/>
          <w:sz w:val="28"/>
          <w:szCs w:val="28"/>
        </w:rPr>
      </w:pPr>
    </w:p>
    <w:p w14:paraId="56C3C45F" w14:textId="77777777" w:rsidR="00975DDD" w:rsidRDefault="00975DDD" w:rsidP="00BF6B2D">
      <w:pPr>
        <w:rPr>
          <w:rFonts w:ascii="Times New Roman" w:hAnsi="Times New Roman"/>
          <w:b/>
          <w:sz w:val="28"/>
          <w:szCs w:val="28"/>
        </w:rPr>
      </w:pPr>
    </w:p>
    <w:p w14:paraId="1FC9E3E5"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lastRenderedPageBreak/>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975DDD" w:rsidRPr="00975DDD" w14:paraId="31541F3E" w14:textId="77777777" w:rsidTr="00262BA3">
        <w:tc>
          <w:tcPr>
            <w:tcW w:w="3189" w:type="dxa"/>
            <w:shd w:val="clear" w:color="auto" w:fill="auto"/>
            <w:vAlign w:val="center"/>
          </w:tcPr>
          <w:p w14:paraId="1F3892E6"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БФП</w:t>
            </w:r>
          </w:p>
        </w:tc>
        <w:tc>
          <w:tcPr>
            <w:tcW w:w="6237" w:type="dxa"/>
            <w:shd w:val="clear" w:color="auto" w:fill="auto"/>
            <w:vAlign w:val="center"/>
          </w:tcPr>
          <w:p w14:paraId="586838B3"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Безвъзмездна финансова помощ</w:t>
            </w:r>
          </w:p>
        </w:tc>
      </w:tr>
      <w:tr w:rsidR="00975DDD" w:rsidRPr="00975DDD" w14:paraId="64870B4F" w14:textId="77777777" w:rsidTr="00262BA3">
        <w:tc>
          <w:tcPr>
            <w:tcW w:w="3189" w:type="dxa"/>
            <w:shd w:val="clear" w:color="auto" w:fill="auto"/>
            <w:vAlign w:val="center"/>
          </w:tcPr>
          <w:p w14:paraId="033F5CCD"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ВОМР</w:t>
            </w:r>
          </w:p>
        </w:tc>
        <w:tc>
          <w:tcPr>
            <w:tcW w:w="6237" w:type="dxa"/>
            <w:shd w:val="clear" w:color="auto" w:fill="auto"/>
            <w:vAlign w:val="center"/>
          </w:tcPr>
          <w:p w14:paraId="30D7DEB1"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водено от общностите местно развитие</w:t>
            </w:r>
          </w:p>
        </w:tc>
      </w:tr>
      <w:tr w:rsidR="00975DDD" w:rsidRPr="00975DDD" w14:paraId="2B4B14BB" w14:textId="77777777" w:rsidTr="00262BA3">
        <w:trPr>
          <w:trHeight w:val="425"/>
        </w:trPr>
        <w:tc>
          <w:tcPr>
            <w:tcW w:w="3189" w:type="dxa"/>
            <w:shd w:val="clear" w:color="auto" w:fill="auto"/>
            <w:vAlign w:val="center"/>
          </w:tcPr>
          <w:p w14:paraId="2BC9D2D5"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ЕС</w:t>
            </w:r>
          </w:p>
        </w:tc>
        <w:tc>
          <w:tcPr>
            <w:tcW w:w="6237" w:type="dxa"/>
            <w:shd w:val="clear" w:color="auto" w:fill="auto"/>
            <w:vAlign w:val="center"/>
          </w:tcPr>
          <w:p w14:paraId="78A9F5E4"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Европейски съюз</w:t>
            </w:r>
          </w:p>
        </w:tc>
      </w:tr>
      <w:tr w:rsidR="00975DDD" w:rsidRPr="00975DDD" w14:paraId="11EDE8D9" w14:textId="77777777" w:rsidTr="00262BA3">
        <w:trPr>
          <w:trHeight w:val="575"/>
        </w:trPr>
        <w:tc>
          <w:tcPr>
            <w:tcW w:w="3189" w:type="dxa"/>
            <w:shd w:val="clear" w:color="auto" w:fill="auto"/>
            <w:vAlign w:val="center"/>
          </w:tcPr>
          <w:p w14:paraId="7A6708CC"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ЗУСЕСИФ</w:t>
            </w:r>
          </w:p>
        </w:tc>
        <w:tc>
          <w:tcPr>
            <w:tcW w:w="6237" w:type="dxa"/>
            <w:shd w:val="clear" w:color="auto" w:fill="auto"/>
            <w:vAlign w:val="center"/>
          </w:tcPr>
          <w:p w14:paraId="5DC96328"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Закон за управление на средствата от Eвропейските структурни и инвестиционни фондове, обн., ДВ, бр. 101 от 22.12.2015 г</w:t>
            </w:r>
          </w:p>
        </w:tc>
      </w:tr>
      <w:tr w:rsidR="00975DDD" w:rsidRPr="00975DDD" w14:paraId="3A7C0579" w14:textId="77777777" w:rsidTr="00262BA3">
        <w:tc>
          <w:tcPr>
            <w:tcW w:w="3189" w:type="dxa"/>
            <w:shd w:val="clear" w:color="auto" w:fill="auto"/>
            <w:vAlign w:val="center"/>
          </w:tcPr>
          <w:p w14:paraId="6F0A9536"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ИА МТСП</w:t>
            </w:r>
          </w:p>
        </w:tc>
        <w:tc>
          <w:tcPr>
            <w:tcW w:w="6237" w:type="dxa"/>
            <w:shd w:val="clear" w:color="auto" w:fill="auto"/>
            <w:vAlign w:val="center"/>
          </w:tcPr>
          <w:p w14:paraId="040B244B"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Изпълнителна агенция Министерство на труда и социалната политика</w:t>
            </w:r>
          </w:p>
        </w:tc>
      </w:tr>
      <w:tr w:rsidR="00975DDD" w:rsidRPr="00975DDD" w14:paraId="0FBFFD3F" w14:textId="77777777" w:rsidTr="00262BA3">
        <w:tc>
          <w:tcPr>
            <w:tcW w:w="3189" w:type="dxa"/>
            <w:shd w:val="clear" w:color="auto" w:fill="auto"/>
            <w:vAlign w:val="center"/>
          </w:tcPr>
          <w:p w14:paraId="42EABD96"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ИС РМП</w:t>
            </w:r>
          </w:p>
        </w:tc>
        <w:tc>
          <w:tcPr>
            <w:tcW w:w="6237" w:type="dxa"/>
            <w:shd w:val="clear" w:color="auto" w:fill="auto"/>
            <w:vAlign w:val="center"/>
          </w:tcPr>
          <w:p w14:paraId="4277FA09"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Информационна система Регистър за минималните помощи</w:t>
            </w:r>
          </w:p>
        </w:tc>
      </w:tr>
      <w:tr w:rsidR="00975DDD" w:rsidRPr="00975DDD" w14:paraId="54B24FDB" w14:textId="77777777" w:rsidTr="00262BA3">
        <w:tc>
          <w:tcPr>
            <w:tcW w:w="3189" w:type="dxa"/>
            <w:shd w:val="clear" w:color="auto" w:fill="auto"/>
            <w:vAlign w:val="center"/>
          </w:tcPr>
          <w:p w14:paraId="5363026C"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ИСУН 2020</w:t>
            </w:r>
          </w:p>
        </w:tc>
        <w:tc>
          <w:tcPr>
            <w:tcW w:w="6237" w:type="dxa"/>
            <w:shd w:val="clear" w:color="auto" w:fill="auto"/>
            <w:vAlign w:val="center"/>
          </w:tcPr>
          <w:p w14:paraId="1860CD57"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 xml:space="preserve">Информационната система за управление и наблюдение на Структурните инструменти на ЕС в България </w:t>
            </w:r>
          </w:p>
        </w:tc>
      </w:tr>
      <w:tr w:rsidR="00975DDD" w:rsidRPr="00975DDD" w14:paraId="35C377C3" w14:textId="77777777" w:rsidTr="00262BA3">
        <w:tc>
          <w:tcPr>
            <w:tcW w:w="3189" w:type="dxa"/>
            <w:shd w:val="clear" w:color="auto" w:fill="auto"/>
            <w:vAlign w:val="center"/>
          </w:tcPr>
          <w:p w14:paraId="57AE68D0"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ОП РЧР</w:t>
            </w:r>
          </w:p>
        </w:tc>
        <w:tc>
          <w:tcPr>
            <w:tcW w:w="6237" w:type="dxa"/>
            <w:shd w:val="clear" w:color="auto" w:fill="auto"/>
            <w:vAlign w:val="center"/>
          </w:tcPr>
          <w:p w14:paraId="58F7CEC0"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Оперативна програма "Развитие на човешките ресурси"</w:t>
            </w:r>
          </w:p>
        </w:tc>
      </w:tr>
      <w:tr w:rsidR="00975DDD" w:rsidRPr="00975DDD" w14:paraId="75F6956D" w14:textId="77777777" w:rsidTr="00262BA3">
        <w:tc>
          <w:tcPr>
            <w:tcW w:w="3189" w:type="dxa"/>
            <w:shd w:val="clear" w:color="auto" w:fill="auto"/>
            <w:vAlign w:val="center"/>
          </w:tcPr>
          <w:p w14:paraId="26D64FC7"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ПМС</w:t>
            </w:r>
          </w:p>
        </w:tc>
        <w:tc>
          <w:tcPr>
            <w:tcW w:w="6237" w:type="dxa"/>
            <w:shd w:val="clear" w:color="auto" w:fill="auto"/>
            <w:vAlign w:val="center"/>
          </w:tcPr>
          <w:p w14:paraId="06BF5A44"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Постановление на Министерски съвет</w:t>
            </w:r>
          </w:p>
        </w:tc>
      </w:tr>
      <w:tr w:rsidR="00975DDD" w:rsidRPr="00975DDD" w14:paraId="1840F879" w14:textId="77777777" w:rsidTr="00262BA3">
        <w:tc>
          <w:tcPr>
            <w:tcW w:w="3189" w:type="dxa"/>
            <w:shd w:val="clear" w:color="auto" w:fill="auto"/>
            <w:vAlign w:val="center"/>
          </w:tcPr>
          <w:p w14:paraId="0FCF75AE"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РУО</w:t>
            </w:r>
          </w:p>
        </w:tc>
        <w:tc>
          <w:tcPr>
            <w:tcW w:w="6237" w:type="dxa"/>
            <w:shd w:val="clear" w:color="auto" w:fill="auto"/>
            <w:vAlign w:val="center"/>
          </w:tcPr>
          <w:p w14:paraId="24E24A16"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Ръководител на управляващия орган</w:t>
            </w:r>
          </w:p>
        </w:tc>
      </w:tr>
      <w:tr w:rsidR="00975DDD" w:rsidRPr="00975DDD" w14:paraId="6A039131" w14:textId="77777777" w:rsidTr="00262BA3">
        <w:tc>
          <w:tcPr>
            <w:tcW w:w="3189" w:type="dxa"/>
            <w:shd w:val="clear" w:color="auto" w:fill="auto"/>
            <w:vAlign w:val="center"/>
          </w:tcPr>
          <w:p w14:paraId="0F890291"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СВОМР</w:t>
            </w:r>
          </w:p>
        </w:tc>
        <w:tc>
          <w:tcPr>
            <w:tcW w:w="6237" w:type="dxa"/>
            <w:shd w:val="clear" w:color="auto" w:fill="auto"/>
            <w:vAlign w:val="center"/>
          </w:tcPr>
          <w:p w14:paraId="16342887"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Стратегия за изпълнение на водено от общностите местно развитие</w:t>
            </w:r>
          </w:p>
        </w:tc>
      </w:tr>
      <w:tr w:rsidR="00975DDD" w:rsidRPr="00975DDD" w14:paraId="1E94FC63" w14:textId="77777777" w:rsidTr="00262BA3">
        <w:tc>
          <w:tcPr>
            <w:tcW w:w="3189" w:type="dxa"/>
            <w:shd w:val="clear" w:color="auto" w:fill="auto"/>
            <w:vAlign w:val="center"/>
          </w:tcPr>
          <w:p w14:paraId="25E5EFF3"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УО</w:t>
            </w:r>
          </w:p>
        </w:tc>
        <w:tc>
          <w:tcPr>
            <w:tcW w:w="6237" w:type="dxa"/>
            <w:shd w:val="clear" w:color="auto" w:fill="auto"/>
            <w:vAlign w:val="center"/>
          </w:tcPr>
          <w:p w14:paraId="01330D61"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Управляващ орган</w:t>
            </w:r>
          </w:p>
        </w:tc>
      </w:tr>
      <w:tr w:rsidR="00975DDD" w:rsidRPr="00975DDD" w14:paraId="10231E56" w14:textId="77777777" w:rsidTr="00262BA3">
        <w:tc>
          <w:tcPr>
            <w:tcW w:w="3189" w:type="dxa"/>
            <w:shd w:val="clear" w:color="auto" w:fill="auto"/>
            <w:vAlign w:val="center"/>
          </w:tcPr>
          <w:p w14:paraId="54A313A4"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ТРЮРЛНЦ</w:t>
            </w:r>
          </w:p>
        </w:tc>
        <w:tc>
          <w:tcPr>
            <w:tcW w:w="6237" w:type="dxa"/>
            <w:shd w:val="clear" w:color="auto" w:fill="auto"/>
            <w:vAlign w:val="center"/>
          </w:tcPr>
          <w:p w14:paraId="0F357055"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Търговски регистър и Регистър на юридическите лица с нестопанска цел</w:t>
            </w:r>
          </w:p>
        </w:tc>
      </w:tr>
    </w:tbl>
    <w:p w14:paraId="2E4F7839" w14:textId="77777777" w:rsidR="00975DDD" w:rsidRPr="00975DDD" w:rsidRDefault="00975DDD" w:rsidP="00975DDD">
      <w:pPr>
        <w:rPr>
          <w:rFonts w:ascii="Times New Roman" w:hAnsi="Times New Roman"/>
          <w:b/>
          <w:sz w:val="28"/>
          <w:szCs w:val="28"/>
        </w:rPr>
      </w:pPr>
    </w:p>
    <w:p w14:paraId="39C3F847" w14:textId="77777777" w:rsidR="00681629" w:rsidRPr="00FD78FC" w:rsidRDefault="00681629">
      <w:pPr>
        <w:rPr>
          <w:rFonts w:ascii="Times New Roman" w:hAnsi="Times New Roman"/>
          <w:b/>
          <w:sz w:val="28"/>
          <w:szCs w:val="28"/>
        </w:rPr>
      </w:pPr>
    </w:p>
    <w:p w14:paraId="2E187FE7" w14:textId="77777777" w:rsidR="007F5391" w:rsidRPr="00FD78FC" w:rsidRDefault="007F5391">
      <w:pPr>
        <w:rPr>
          <w:rFonts w:ascii="Times New Roman" w:hAnsi="Times New Roman"/>
          <w:b/>
          <w:sz w:val="28"/>
          <w:szCs w:val="28"/>
        </w:rPr>
      </w:pPr>
    </w:p>
    <w:p w14:paraId="7CEF9F06" w14:textId="77777777" w:rsidR="00132B9C" w:rsidRPr="007713C1" w:rsidRDefault="00132B9C" w:rsidP="00462B4A">
      <w:pPr>
        <w:pStyle w:val="Heading1"/>
        <w:pageBreakBefore/>
      </w:pPr>
      <w:bookmarkStart w:id="1" w:name="_Toc442298704"/>
      <w:bookmarkStart w:id="2" w:name="_Toc445385556"/>
      <w:r w:rsidRPr="007713C1">
        <w:lastRenderedPageBreak/>
        <w:t>1. Наименование на програмата:</w:t>
      </w:r>
      <w:bookmarkEnd w:id="1"/>
      <w:bookmarkEnd w:id="2"/>
    </w:p>
    <w:p w14:paraId="0FB4AEC8" w14:textId="77777777" w:rsidR="007057A9" w:rsidRPr="007713C1" w:rsidRDefault="007057A9"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p>
    <w:p w14:paraId="21A1DD0A" w14:textId="77777777" w:rsidR="0010018A" w:rsidRPr="007713C1" w:rsidRDefault="00C8067E"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r w:rsidRPr="007713C1">
        <w:rPr>
          <w:rFonts w:ascii="Times New Roman" w:hAnsi="Times New Roman"/>
          <w:sz w:val="24"/>
          <w:szCs w:val="24"/>
        </w:rPr>
        <w:t>Оперативна програма „Развитие на човешките ресурси“ 2014-2020</w:t>
      </w:r>
      <w:r w:rsidR="001737C2" w:rsidRPr="00B810A0">
        <w:rPr>
          <w:rFonts w:ascii="Times New Roman" w:hAnsi="Times New Roman"/>
          <w:sz w:val="24"/>
          <w:szCs w:val="24"/>
        </w:rPr>
        <w:t xml:space="preserve"> </w:t>
      </w:r>
    </w:p>
    <w:p w14:paraId="59A98CD1" w14:textId="77777777" w:rsidR="00AA090D" w:rsidRDefault="00AA090D" w:rsidP="003A2D4B">
      <w:pPr>
        <w:pStyle w:val="Heading2"/>
        <w:numPr>
          <w:ilvl w:val="1"/>
          <w:numId w:val="25"/>
        </w:numPr>
      </w:pPr>
      <w:bookmarkStart w:id="3" w:name="_Toc445385303"/>
      <w:bookmarkStart w:id="4" w:name="_Toc445385557"/>
      <w:r w:rsidRPr="007713C1">
        <w:t>Обща информация за ОП РЧР 2014-2020 г.</w:t>
      </w:r>
      <w:bookmarkEnd w:id="3"/>
      <w:bookmarkEnd w:id="4"/>
      <w:r w:rsidR="001737C2">
        <w:t>/ВОМР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2F38F1" w:rsidRPr="008F724D" w14:paraId="1B947EA7" w14:textId="77777777">
        <w:tc>
          <w:tcPr>
            <w:tcW w:w="9496" w:type="dxa"/>
          </w:tcPr>
          <w:p w14:paraId="588C1301"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10C1E87B" w14:textId="77777777" w:rsidR="009D561C"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 </w:t>
            </w:r>
          </w:p>
          <w:p w14:paraId="7A00655C"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Анализът към 2012 г. от Споразумението за партньорство показа нуждата през следващия програмен период България да положи значителни усилия, за да постигне заложените цели. Равнището на заетост за населението между 20 и 64-годишна възраст е 63.0% при цел от 76%, а в сравнение с базовата 2008 г., през 2010 г. броят на хората в бедност е нараснал с над 41 хиляди души. </w:t>
            </w:r>
          </w:p>
          <w:p w14:paraId="7C3D80D7"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 Отчитайки тези предизвикателства, стратегията на ОП РЧР се основава на три стълба. Това са: </w:t>
            </w:r>
          </w:p>
          <w:p w14:paraId="5E84B336"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(1) По-висока и по-качествена заетост. </w:t>
            </w:r>
          </w:p>
          <w:p w14:paraId="23DC093E"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(2) Намаляване на бедността и насърчаване на социалното включване. </w:t>
            </w:r>
          </w:p>
          <w:p w14:paraId="4B5B5535"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(3) Модернизиране на публичните политики.</w:t>
            </w:r>
          </w:p>
          <w:p w14:paraId="09E0A940"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Подходът ВОМР ще подпомогне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0AC9AB4F"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В сферата на пазара на труда, чрез ОПРЧР, подходът ще цели насърчаване на устойчивата и качествена заетост и подкрепа за мобилността на работната сила, както и повишаване квалификацията на населението. Ще се финансират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Ще се прилагат мерки за насърчаване на предприемачеството с цел повишаване на самонаемането.</w:t>
            </w:r>
          </w:p>
          <w:p w14:paraId="75BDABDF" w14:textId="77777777" w:rsidR="002F38F1"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По отношение на намаляване на бедността и повишаване на социалното включване, се планира инвестиране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увреждания,лица/деца в риск и др., които ще получат достъп до мерки и услуги в съответствие с техните нужди.</w:t>
            </w:r>
          </w:p>
          <w:p w14:paraId="0877705E" w14:textId="77777777" w:rsidR="008945C5" w:rsidRDefault="008945C5" w:rsidP="008F724D">
            <w:pPr>
              <w:spacing w:after="0" w:line="240" w:lineRule="auto"/>
              <w:jc w:val="both"/>
              <w:rPr>
                <w:rFonts w:ascii="Times New Roman" w:eastAsia="Times New Roman" w:hAnsi="Times New Roman"/>
                <w:sz w:val="24"/>
                <w:szCs w:val="24"/>
                <w:lang w:eastAsia="bg-BG"/>
              </w:rPr>
            </w:pPr>
          </w:p>
          <w:p w14:paraId="691E7E6B" w14:textId="77777777" w:rsidR="008945C5" w:rsidRPr="00BF6B2D" w:rsidRDefault="008945C5" w:rsidP="008945C5">
            <w:pPr>
              <w:spacing w:after="0" w:line="276" w:lineRule="auto"/>
              <w:jc w:val="both"/>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xml:space="preserve">Стратегическите цели, приоритетите и специфичните цели за развитие на територията на </w:t>
            </w:r>
            <w:r w:rsidRPr="008945C5">
              <w:rPr>
                <w:rFonts w:ascii="Times New Roman" w:eastAsia="Times New Roman" w:hAnsi="Times New Roman"/>
                <w:sz w:val="24"/>
                <w:szCs w:val="24"/>
                <w:lang w:eastAsia="bg-BG"/>
              </w:rPr>
              <w:lastRenderedPageBreak/>
              <w:t xml:space="preserve">МИГ чрез прилагането на Многофондова Стратегия за ВОМР до 2020 година са определени на основата на прилагането на подхода „отдолу-нагоре” съгласно установените нужди, идентифицирани от анализа на настоящото състояние, SWOT анализа, анализа на тенденциите и процеса на информиране и консултации със заинтересованите страни в района на действие на МИГ и при отчитане измеренията на хоризонталните политики </w:t>
            </w:r>
            <w:r w:rsidRPr="00BF6B2D">
              <w:rPr>
                <w:rFonts w:ascii="Times New Roman" w:eastAsia="Times New Roman" w:hAnsi="Times New Roman"/>
                <w:sz w:val="24"/>
                <w:szCs w:val="24"/>
                <w:lang w:eastAsia="bg-BG"/>
              </w:rPr>
              <w:t>на Европейския съюз.</w:t>
            </w:r>
          </w:p>
          <w:p w14:paraId="51E4B885" w14:textId="77777777" w:rsidR="008945C5" w:rsidRPr="00BF6B2D" w:rsidRDefault="008945C5" w:rsidP="008945C5">
            <w:pPr>
              <w:spacing w:after="0" w:line="276" w:lineRule="auto"/>
              <w:jc w:val="both"/>
              <w:rPr>
                <w:rFonts w:ascii="Times New Roman" w:eastAsia="Times New Roman" w:hAnsi="Times New Roman"/>
                <w:b/>
                <w:sz w:val="24"/>
                <w:szCs w:val="24"/>
              </w:rPr>
            </w:pPr>
          </w:p>
          <w:p w14:paraId="4E87A480" w14:textId="77777777" w:rsidR="008945C5" w:rsidRDefault="008945C5" w:rsidP="008945C5">
            <w:pPr>
              <w:spacing w:after="0" w:line="240" w:lineRule="auto"/>
              <w:jc w:val="both"/>
              <w:rPr>
                <w:rFonts w:ascii="Times New Roman" w:hAnsi="Times New Roman"/>
                <w:sz w:val="24"/>
                <w:szCs w:val="24"/>
              </w:rPr>
            </w:pPr>
            <w:r w:rsidRPr="007307BD">
              <w:rPr>
                <w:rFonts w:ascii="Times New Roman" w:hAnsi="Times New Roman"/>
                <w:sz w:val="24"/>
                <w:szCs w:val="24"/>
              </w:rPr>
              <w:t>Стратегическа цел на СВОМР е насърчаване на социалното приобщаване  на територията на МИГ, подобряване на качеството на образованието и повишаване квалификацията на населението, вкл. насърчаване на устойчивата и качествена заетост и подкрепа за мобилността на работната сила</w:t>
            </w:r>
            <w:r>
              <w:rPr>
                <w:rFonts w:ascii="Times New Roman" w:hAnsi="Times New Roman"/>
                <w:sz w:val="24"/>
                <w:szCs w:val="24"/>
              </w:rPr>
              <w:t>.</w:t>
            </w:r>
          </w:p>
          <w:p w14:paraId="44BEA8B4" w14:textId="77777777" w:rsidR="008945C5" w:rsidRDefault="008945C5" w:rsidP="008945C5">
            <w:pPr>
              <w:spacing w:after="0" w:line="240" w:lineRule="auto"/>
              <w:jc w:val="both"/>
              <w:rPr>
                <w:rFonts w:ascii="Times New Roman" w:hAnsi="Times New Roman"/>
                <w:sz w:val="24"/>
                <w:szCs w:val="24"/>
              </w:rPr>
            </w:pPr>
            <w:r>
              <w:rPr>
                <w:rFonts w:ascii="Times New Roman" w:hAnsi="Times New Roman"/>
                <w:sz w:val="24"/>
                <w:szCs w:val="24"/>
              </w:rPr>
              <w:t xml:space="preserve">Специфични цели: </w:t>
            </w:r>
          </w:p>
          <w:p w14:paraId="615AD1F0" w14:textId="77777777" w:rsidR="008945C5" w:rsidRPr="008945C5" w:rsidRDefault="008945C5" w:rsidP="008945C5">
            <w:pPr>
              <w:spacing w:after="0" w:line="276" w:lineRule="auto"/>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създаване на условия за повишаване квалификацията на населението;</w:t>
            </w:r>
          </w:p>
          <w:p w14:paraId="7434C824" w14:textId="77777777" w:rsidR="008945C5" w:rsidRDefault="008945C5" w:rsidP="008945C5">
            <w:pPr>
              <w:spacing w:after="0" w:line="240" w:lineRule="auto"/>
              <w:jc w:val="both"/>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подобряване достъпа до работни места</w:t>
            </w:r>
          </w:p>
          <w:p w14:paraId="27EEF2C2" w14:textId="77777777" w:rsidR="008945C5" w:rsidRPr="008945C5" w:rsidRDefault="008945C5" w:rsidP="008945C5">
            <w:pPr>
              <w:spacing w:after="0" w:line="276" w:lineRule="auto"/>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предприемане на мерки за създаване на качествена заетост;</w:t>
            </w:r>
          </w:p>
          <w:p w14:paraId="14E3C2B0" w14:textId="77777777" w:rsidR="008945C5" w:rsidRDefault="008945C5" w:rsidP="008945C5">
            <w:pPr>
              <w:spacing w:after="0" w:line="240" w:lineRule="auto"/>
              <w:jc w:val="both"/>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осигуряване на мобилност на работната сила на територията на МИГ</w:t>
            </w:r>
            <w:r>
              <w:rPr>
                <w:rFonts w:ascii="Times New Roman" w:eastAsia="Times New Roman" w:hAnsi="Times New Roman"/>
                <w:sz w:val="24"/>
                <w:szCs w:val="24"/>
                <w:lang w:eastAsia="bg-BG"/>
              </w:rPr>
              <w:t>;</w:t>
            </w:r>
          </w:p>
          <w:p w14:paraId="00B094FC" w14:textId="77777777" w:rsidR="008945C5" w:rsidRPr="008945C5" w:rsidRDefault="008945C5" w:rsidP="008945C5">
            <w:pPr>
              <w:spacing w:after="0" w:line="276" w:lineRule="auto"/>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повишаване качеството на предлаганите социални услуги за общността;</w:t>
            </w:r>
          </w:p>
          <w:p w14:paraId="1150401F" w14:textId="77777777" w:rsidR="008945C5" w:rsidRDefault="008945C5" w:rsidP="008945C5">
            <w:pPr>
              <w:spacing w:after="0" w:line="240" w:lineRule="auto"/>
              <w:jc w:val="both"/>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xml:space="preserve">- подобряване интеграцията </w:t>
            </w:r>
            <w:r w:rsidRPr="008945C5">
              <w:rPr>
                <w:rFonts w:ascii="Times New Roman" w:eastAsia="Times New Roman" w:hAnsi="Times New Roman"/>
                <w:sz w:val="24"/>
                <w:szCs w:val="24"/>
                <w:lang w:eastAsia="bg-BG"/>
              </w:rPr>
              <w:cr/>
            </w:r>
            <w:r>
              <w:rPr>
                <w:rFonts w:ascii="Times New Roman" w:eastAsia="Times New Roman" w:hAnsi="Times New Roman"/>
                <w:sz w:val="24"/>
                <w:szCs w:val="24"/>
                <w:lang w:eastAsia="bg-BG"/>
              </w:rPr>
              <w:t xml:space="preserve">на </w:t>
            </w:r>
            <w:r w:rsidRPr="008945C5">
              <w:rPr>
                <w:rFonts w:ascii="Times New Roman" w:eastAsia="Times New Roman" w:hAnsi="Times New Roman"/>
                <w:sz w:val="24"/>
                <w:szCs w:val="24"/>
                <w:lang w:eastAsia="bg-BG"/>
              </w:rPr>
              <w:t xml:space="preserve"> уязвимите групи и малцинствата на територията на МИГ</w:t>
            </w:r>
          </w:p>
          <w:p w14:paraId="4EB89E0F" w14:textId="77777777" w:rsidR="008945C5" w:rsidRPr="008945C5" w:rsidRDefault="008945C5" w:rsidP="008945C5">
            <w:pPr>
              <w:spacing w:after="0" w:line="240" w:lineRule="auto"/>
              <w:jc w:val="both"/>
              <w:rPr>
                <w:rFonts w:ascii="Times New Roman" w:eastAsia="Times New Roman" w:hAnsi="Times New Roman"/>
                <w:sz w:val="20"/>
                <w:szCs w:val="20"/>
                <w:lang w:eastAsia="bg-BG"/>
              </w:rPr>
            </w:pPr>
          </w:p>
        </w:tc>
      </w:tr>
    </w:tbl>
    <w:p w14:paraId="2ACB9CB1" w14:textId="77777777" w:rsidR="008A2A1F" w:rsidRPr="007713C1" w:rsidRDefault="008A2A1F" w:rsidP="007570DC">
      <w:pPr>
        <w:pStyle w:val="Heading1"/>
      </w:pPr>
      <w:bookmarkStart w:id="5" w:name="_Toc445385563"/>
      <w:r w:rsidRPr="007713C1">
        <w:lastRenderedPageBreak/>
        <w:t>2. Наименование на приоритетната ос:</w:t>
      </w:r>
      <w:bookmarkEnd w:id="5"/>
    </w:p>
    <w:p w14:paraId="60470BD7" w14:textId="77777777" w:rsidR="002325A3" w:rsidRDefault="009C783E" w:rsidP="00057E5D">
      <w:pPr>
        <w:pStyle w:val="ListParagraph"/>
        <w:pBdr>
          <w:top w:val="single" w:sz="4" w:space="1" w:color="auto"/>
          <w:left w:val="single" w:sz="4" w:space="4" w:color="auto"/>
          <w:bottom w:val="single" w:sz="4" w:space="0" w:color="auto"/>
          <w:right w:val="single" w:sz="4" w:space="4" w:color="auto"/>
        </w:pBdr>
        <w:spacing w:before="120" w:after="120" w:line="240" w:lineRule="auto"/>
        <w:ind w:left="0"/>
        <w:jc w:val="both"/>
        <w:rPr>
          <w:rFonts w:ascii="Times New Roman" w:hAnsi="Times New Roman"/>
          <w:b/>
          <w:sz w:val="24"/>
          <w:szCs w:val="24"/>
        </w:rPr>
      </w:pPr>
      <w:r>
        <w:rPr>
          <w:rFonts w:ascii="Times New Roman" w:hAnsi="Times New Roman"/>
          <w:b/>
          <w:sz w:val="24"/>
          <w:szCs w:val="24"/>
        </w:rPr>
        <w:t xml:space="preserve">ПО 1 </w:t>
      </w:r>
      <w:r w:rsidR="001F6F10" w:rsidRPr="00057E5D">
        <w:rPr>
          <w:rFonts w:ascii="Times New Roman" w:hAnsi="Times New Roman"/>
          <w:b/>
          <w:sz w:val="24"/>
          <w:szCs w:val="24"/>
        </w:rPr>
        <w:t>„Подобряване достъпа до заетост и качеството на работните места”</w:t>
      </w:r>
    </w:p>
    <w:p w14:paraId="209E1345" w14:textId="77777777" w:rsidR="009F1FFC" w:rsidRDefault="00D462DB" w:rsidP="00057E5D">
      <w:pPr>
        <w:pStyle w:val="ListParagraph"/>
        <w:pBdr>
          <w:top w:val="single" w:sz="4" w:space="1" w:color="auto"/>
          <w:left w:val="single" w:sz="4" w:space="4" w:color="auto"/>
          <w:bottom w:val="single" w:sz="4" w:space="0" w:color="auto"/>
          <w:right w:val="single" w:sz="4" w:space="4" w:color="auto"/>
        </w:pBdr>
        <w:spacing w:before="120" w:after="120" w:line="240" w:lineRule="auto"/>
        <w:ind w:left="0"/>
        <w:jc w:val="both"/>
        <w:rPr>
          <w:rFonts w:ascii="Times New Roman" w:hAnsi="Times New Roman"/>
          <w:b/>
          <w:sz w:val="24"/>
          <w:szCs w:val="24"/>
        </w:rPr>
      </w:pPr>
      <w:r>
        <w:rPr>
          <w:rFonts w:ascii="Times New Roman" w:hAnsi="Times New Roman"/>
          <w:b/>
          <w:sz w:val="24"/>
          <w:szCs w:val="24"/>
        </w:rPr>
        <w:t>ИП 7 „Приспособяване на работниците, предприятията и предприемачите към промените“</w:t>
      </w:r>
    </w:p>
    <w:p w14:paraId="6B560193" w14:textId="77777777" w:rsidR="00C94ADE" w:rsidRDefault="005620AC" w:rsidP="00057E5D">
      <w:pPr>
        <w:pStyle w:val="ListParagraph"/>
        <w:pBdr>
          <w:top w:val="single" w:sz="4" w:space="1" w:color="auto"/>
          <w:left w:val="single" w:sz="4" w:space="4" w:color="auto"/>
          <w:bottom w:val="single" w:sz="4" w:space="0" w:color="auto"/>
          <w:right w:val="single" w:sz="4" w:space="4" w:color="auto"/>
        </w:pBdr>
        <w:spacing w:before="120" w:after="120" w:line="240" w:lineRule="auto"/>
        <w:ind w:left="0"/>
        <w:jc w:val="both"/>
        <w:rPr>
          <w:rFonts w:ascii="Times New Roman" w:hAnsi="Times New Roman"/>
          <w:b/>
          <w:sz w:val="24"/>
          <w:szCs w:val="24"/>
        </w:rPr>
      </w:pPr>
      <w:r w:rsidRPr="005620AC">
        <w:rPr>
          <w:rFonts w:ascii="Times New Roman" w:hAnsi="Times New Roman"/>
          <w:b/>
          <w:sz w:val="24"/>
          <w:szCs w:val="24"/>
        </w:rPr>
        <w:t>С</w:t>
      </w:r>
      <w:r>
        <w:rPr>
          <w:rFonts w:ascii="Times New Roman" w:hAnsi="Times New Roman"/>
          <w:b/>
          <w:sz w:val="24"/>
          <w:szCs w:val="24"/>
        </w:rPr>
        <w:t xml:space="preserve">Ц </w:t>
      </w:r>
      <w:r w:rsidRPr="005620AC">
        <w:rPr>
          <w:rFonts w:ascii="Times New Roman" w:hAnsi="Times New Roman"/>
          <w:b/>
          <w:sz w:val="24"/>
          <w:szCs w:val="24"/>
        </w:rPr>
        <w:t>1 „Увеличаване броя на обхванатите заети в предприятията с въведени нови системи, практики и инструменти за развитие на човешките ресурси и подобряване на организацията и условията на труд“</w:t>
      </w:r>
    </w:p>
    <w:p w14:paraId="5D87577E" w14:textId="77777777" w:rsidR="00E75340" w:rsidRPr="00057E5D" w:rsidRDefault="00E75340" w:rsidP="00057E5D">
      <w:pPr>
        <w:pStyle w:val="ListParagraph"/>
        <w:pBdr>
          <w:top w:val="single" w:sz="4" w:space="1" w:color="auto"/>
          <w:left w:val="single" w:sz="4" w:space="4" w:color="auto"/>
          <w:bottom w:val="single" w:sz="4" w:space="0" w:color="auto"/>
          <w:right w:val="single" w:sz="4" w:space="4" w:color="auto"/>
        </w:pBdr>
        <w:spacing w:before="120" w:after="120" w:line="240" w:lineRule="auto"/>
        <w:ind w:left="0"/>
        <w:jc w:val="both"/>
        <w:rPr>
          <w:rFonts w:ascii="Times New Roman" w:hAnsi="Times New Roman"/>
          <w:b/>
          <w:sz w:val="24"/>
          <w:szCs w:val="24"/>
        </w:rPr>
      </w:pPr>
    </w:p>
    <w:p w14:paraId="2C34569D" w14:textId="77777777" w:rsidR="000D139D" w:rsidRPr="007713C1" w:rsidRDefault="000D139D" w:rsidP="007570DC">
      <w:pPr>
        <w:pStyle w:val="Heading1"/>
      </w:pPr>
      <w:bookmarkStart w:id="6" w:name="_Toc445385564"/>
      <w:r w:rsidRPr="007713C1">
        <w:t>3. Наименование на процедурата:</w:t>
      </w:r>
      <w:bookmarkEnd w:id="6"/>
    </w:p>
    <w:p w14:paraId="6EEB96B4" w14:textId="77777777" w:rsidR="00A11A19" w:rsidRPr="003852F5" w:rsidRDefault="001F6F10"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b/>
          <w:sz w:val="24"/>
          <w:szCs w:val="24"/>
          <w:lang w:val="en-US"/>
        </w:rPr>
      </w:pPr>
      <w:r w:rsidRPr="00226763">
        <w:rPr>
          <w:rFonts w:ascii="Times New Roman" w:hAnsi="Times New Roman"/>
          <w:sz w:val="24"/>
          <w:szCs w:val="24"/>
        </w:rPr>
        <w:t>„</w:t>
      </w:r>
      <w:r w:rsidR="008F47B0" w:rsidRPr="00F90FCF">
        <w:rPr>
          <w:rFonts w:ascii="Times New Roman" w:hAnsi="Times New Roman"/>
          <w:b/>
          <w:sz w:val="24"/>
          <w:szCs w:val="24"/>
        </w:rPr>
        <w:t xml:space="preserve"> </w:t>
      </w:r>
      <w:r w:rsidR="008F47B0" w:rsidRPr="007307BD">
        <w:rPr>
          <w:rFonts w:ascii="Times New Roman" w:hAnsi="Times New Roman"/>
          <w:sz w:val="24"/>
          <w:szCs w:val="24"/>
        </w:rPr>
        <w:t>По-добро здраве и работоспособност на заетите в икономиката на общините  Лясковец и Стражица</w:t>
      </w:r>
      <w:r w:rsidR="001A6D85">
        <w:rPr>
          <w:rFonts w:ascii="Times New Roman" w:hAnsi="Times New Roman"/>
          <w:b/>
          <w:sz w:val="24"/>
          <w:szCs w:val="24"/>
        </w:rPr>
        <w:t>“</w:t>
      </w:r>
    </w:p>
    <w:p w14:paraId="5F017724" w14:textId="77777777" w:rsidR="00A11A19" w:rsidRPr="007713C1" w:rsidRDefault="00A11A19" w:rsidP="007570DC">
      <w:pPr>
        <w:pStyle w:val="Heading1"/>
      </w:pPr>
      <w:bookmarkStart w:id="7" w:name="_Toc445385565"/>
      <w:r w:rsidRPr="007713C1">
        <w:t>4. Измерения по кодове</w:t>
      </w:r>
      <w:r w:rsidR="00D467D3" w:rsidRPr="007713C1">
        <w:rPr>
          <w:rStyle w:val="FootnoteReference"/>
          <w:b w:val="0"/>
        </w:rPr>
        <w:footnoteReference w:id="1"/>
      </w:r>
      <w:r w:rsidRPr="007713C1">
        <w:t>:</w:t>
      </w:r>
      <w:bookmarkEnd w:id="7"/>
      <w:r w:rsidR="002325A3" w:rsidRPr="007713C1">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1A19" w:rsidRPr="008F724D" w14:paraId="1F998528" w14:textId="77777777">
        <w:tc>
          <w:tcPr>
            <w:tcW w:w="9606" w:type="dxa"/>
          </w:tcPr>
          <w:p w14:paraId="564494BE" w14:textId="77777777" w:rsidR="00797688" w:rsidRPr="008F724D" w:rsidRDefault="00797688" w:rsidP="008F724D">
            <w:pPr>
              <w:spacing w:after="120" w:line="240" w:lineRule="auto"/>
              <w:jc w:val="both"/>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w:t>
            </w:r>
            <w:r w:rsidR="00A44A0C" w:rsidRPr="008F724D">
              <w:rPr>
                <w:rFonts w:ascii="Times New Roman" w:eastAsia="Times New Roman" w:hAnsi="Times New Roman"/>
                <w:b/>
                <w:i/>
                <w:sz w:val="24"/>
                <w:szCs w:val="24"/>
                <w:lang w:eastAsia="bg-BG"/>
              </w:rPr>
              <w:t>Тази точка се попълва от УО при съгласуване на Условията за кандидатстване./</w:t>
            </w:r>
          </w:p>
          <w:p w14:paraId="200B0FBF" w14:textId="77777777" w:rsidR="00A11A19" w:rsidRPr="008F724D" w:rsidRDefault="00A11A19" w:rsidP="008F724D">
            <w:pPr>
              <w:spacing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b/>
                <w:sz w:val="24"/>
                <w:szCs w:val="24"/>
                <w:lang w:eastAsia="bg-BG"/>
              </w:rPr>
              <w:t>Измерение 1 – Област на интервенция:</w:t>
            </w:r>
            <w:r w:rsidR="00C13650" w:rsidRPr="008F724D">
              <w:rPr>
                <w:rFonts w:ascii="Times New Roman" w:eastAsia="Times New Roman" w:hAnsi="Times New Roman"/>
                <w:sz w:val="24"/>
                <w:szCs w:val="24"/>
                <w:lang w:eastAsia="bg-BG"/>
              </w:rPr>
              <w:t xml:space="preserve"> </w:t>
            </w:r>
            <w:r w:rsidR="003A4A15">
              <w:rPr>
                <w:rFonts w:ascii="Times New Roman" w:eastAsia="Times New Roman" w:hAnsi="Times New Roman"/>
                <w:sz w:val="24"/>
                <w:szCs w:val="24"/>
                <w:lang w:eastAsia="bg-BG"/>
              </w:rPr>
              <w:t>К</w:t>
            </w:r>
            <w:r w:rsidR="00621659">
              <w:rPr>
                <w:rFonts w:ascii="Times New Roman" w:eastAsia="Times New Roman" w:hAnsi="Times New Roman"/>
                <w:sz w:val="24"/>
                <w:szCs w:val="24"/>
                <w:lang w:eastAsia="bg-BG"/>
              </w:rPr>
              <w:t>од</w:t>
            </w:r>
            <w:r w:rsidR="003A4A15">
              <w:rPr>
                <w:rFonts w:ascii="Times New Roman" w:eastAsia="Times New Roman" w:hAnsi="Times New Roman"/>
                <w:sz w:val="24"/>
                <w:szCs w:val="24"/>
                <w:lang w:eastAsia="bg-BG"/>
              </w:rPr>
              <w:t xml:space="preserve"> 106</w:t>
            </w:r>
          </w:p>
          <w:p w14:paraId="6367DA3E" w14:textId="77777777" w:rsidR="00A11A19" w:rsidRPr="008F724D" w:rsidRDefault="00A11A19" w:rsidP="008F724D">
            <w:pPr>
              <w:spacing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b/>
                <w:sz w:val="24"/>
                <w:szCs w:val="24"/>
                <w:lang w:eastAsia="bg-BG"/>
              </w:rPr>
              <w:t>Измерение 2 – Форма на финансиране:</w:t>
            </w:r>
            <w:r w:rsidR="00C13650" w:rsidRPr="008F724D">
              <w:rPr>
                <w:rFonts w:ascii="Times New Roman" w:eastAsia="Times New Roman" w:hAnsi="Times New Roman"/>
                <w:sz w:val="24"/>
                <w:szCs w:val="24"/>
                <w:lang w:eastAsia="bg-BG"/>
              </w:rPr>
              <w:t xml:space="preserve"> </w:t>
            </w:r>
            <w:r w:rsidR="003A4A15">
              <w:rPr>
                <w:rFonts w:ascii="Times New Roman" w:eastAsia="Times New Roman" w:hAnsi="Times New Roman"/>
                <w:sz w:val="24"/>
                <w:szCs w:val="24"/>
                <w:lang w:eastAsia="bg-BG"/>
              </w:rPr>
              <w:t xml:space="preserve"> Код 01</w:t>
            </w:r>
          </w:p>
          <w:p w14:paraId="222C5DC8" w14:textId="77777777" w:rsidR="00A11A19" w:rsidRPr="008F724D" w:rsidRDefault="00A11A19"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b/>
                <w:sz w:val="24"/>
                <w:szCs w:val="24"/>
                <w:lang w:eastAsia="bg-BG"/>
              </w:rPr>
              <w:t>Измерение 3 – Вид територия:</w:t>
            </w:r>
            <w:r w:rsidR="00C13650" w:rsidRPr="008F724D">
              <w:rPr>
                <w:rFonts w:ascii="Times New Roman" w:eastAsia="Times New Roman" w:hAnsi="Times New Roman"/>
                <w:sz w:val="24"/>
                <w:szCs w:val="24"/>
                <w:lang w:eastAsia="bg-BG"/>
              </w:rPr>
              <w:t xml:space="preserve"> </w:t>
            </w:r>
            <w:r w:rsidR="003A4A15">
              <w:rPr>
                <w:rFonts w:ascii="Times New Roman" w:eastAsia="Times New Roman" w:hAnsi="Times New Roman"/>
                <w:sz w:val="24"/>
                <w:szCs w:val="24"/>
                <w:lang w:eastAsia="bg-BG"/>
              </w:rPr>
              <w:t>Код 07</w:t>
            </w:r>
          </w:p>
          <w:p w14:paraId="1B1692A8" w14:textId="77777777" w:rsidR="00C532E2" w:rsidRPr="008F724D" w:rsidRDefault="00A11A19"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b/>
                <w:sz w:val="24"/>
                <w:szCs w:val="24"/>
                <w:lang w:eastAsia="bg-BG"/>
              </w:rPr>
              <w:t>Измерение 4 – Териториални механизми за изпълнение:</w:t>
            </w:r>
            <w:r w:rsidR="00C13650" w:rsidRPr="008F724D">
              <w:rPr>
                <w:rFonts w:ascii="Times New Roman" w:eastAsia="Times New Roman" w:hAnsi="Times New Roman"/>
                <w:sz w:val="24"/>
                <w:szCs w:val="24"/>
                <w:lang w:eastAsia="bg-BG"/>
              </w:rPr>
              <w:t xml:space="preserve"> </w:t>
            </w:r>
            <w:r w:rsidR="003A4A15">
              <w:rPr>
                <w:rFonts w:ascii="Times New Roman" w:eastAsia="Times New Roman" w:hAnsi="Times New Roman"/>
                <w:sz w:val="24"/>
                <w:szCs w:val="24"/>
                <w:lang w:eastAsia="bg-BG"/>
              </w:rPr>
              <w:t>Код 06</w:t>
            </w:r>
          </w:p>
          <w:p w14:paraId="4C04F812" w14:textId="77777777" w:rsidR="009D561C" w:rsidRPr="00A720CE" w:rsidRDefault="00C532E2" w:rsidP="009D561C">
            <w:pPr>
              <w:pStyle w:val="ListParagraph"/>
              <w:spacing w:before="120" w:after="120" w:line="240" w:lineRule="auto"/>
              <w:ind w:left="0"/>
              <w:contextualSpacing w:val="0"/>
              <w:jc w:val="both"/>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lastRenderedPageBreak/>
              <w:t xml:space="preserve">Измерение 6 </w:t>
            </w:r>
            <w:r w:rsidR="00065A28">
              <w:rPr>
                <w:rFonts w:ascii="Times New Roman" w:eastAsia="Times New Roman" w:hAnsi="Times New Roman"/>
                <w:b/>
                <w:sz w:val="24"/>
                <w:szCs w:val="24"/>
                <w:lang w:eastAsia="bg-BG"/>
              </w:rPr>
              <w:t xml:space="preserve">- </w:t>
            </w:r>
            <w:r w:rsidRPr="008F724D">
              <w:rPr>
                <w:rFonts w:ascii="Times New Roman" w:eastAsia="Times New Roman" w:hAnsi="Times New Roman"/>
                <w:b/>
                <w:sz w:val="24"/>
                <w:szCs w:val="24"/>
                <w:lang w:eastAsia="bg-BG"/>
              </w:rPr>
              <w:t>Вторична тема по ЕСФ:</w:t>
            </w:r>
            <w:r w:rsidR="00C13650" w:rsidRPr="008F724D">
              <w:rPr>
                <w:rFonts w:ascii="Times New Roman" w:eastAsia="Times New Roman" w:hAnsi="Times New Roman"/>
                <w:b/>
                <w:sz w:val="24"/>
                <w:szCs w:val="24"/>
                <w:lang w:eastAsia="bg-BG"/>
              </w:rPr>
              <w:t xml:space="preserve"> </w:t>
            </w:r>
            <w:r w:rsidR="003A4A15" w:rsidRPr="00621659">
              <w:rPr>
                <w:rFonts w:ascii="Times New Roman" w:eastAsia="Times New Roman" w:hAnsi="Times New Roman"/>
                <w:sz w:val="24"/>
                <w:szCs w:val="24"/>
                <w:lang w:eastAsia="bg-BG"/>
              </w:rPr>
              <w:t>Код</w:t>
            </w:r>
            <w:r w:rsidR="00A720CE" w:rsidRPr="00621659">
              <w:rPr>
                <w:rFonts w:ascii="Times New Roman" w:eastAsia="Times New Roman" w:hAnsi="Times New Roman"/>
                <w:sz w:val="24"/>
                <w:szCs w:val="24"/>
                <w:lang w:eastAsia="bg-BG"/>
              </w:rPr>
              <w:t xml:space="preserve"> 08</w:t>
            </w:r>
          </w:p>
          <w:p w14:paraId="75AD977D" w14:textId="77777777" w:rsidR="00A11A19" w:rsidRPr="008F724D" w:rsidRDefault="006A0AE8" w:rsidP="00642CA1">
            <w:pPr>
              <w:pStyle w:val="ListParagraph"/>
              <w:spacing w:before="120" w:after="120" w:line="240" w:lineRule="auto"/>
              <w:ind w:left="0"/>
              <w:contextualSpacing w:val="0"/>
              <w:jc w:val="both"/>
              <w:rPr>
                <w:rFonts w:ascii="Times New Roman" w:eastAsia="Times New Roman" w:hAnsi="Times New Roman"/>
                <w:sz w:val="20"/>
                <w:szCs w:val="20"/>
                <w:lang w:eastAsia="bg-BG"/>
              </w:rPr>
            </w:pPr>
            <w:r w:rsidRPr="00A720CE">
              <w:rPr>
                <w:rFonts w:ascii="Times New Roman" w:eastAsia="Times New Roman" w:hAnsi="Times New Roman"/>
                <w:b/>
                <w:sz w:val="24"/>
                <w:szCs w:val="24"/>
                <w:lang w:eastAsia="bg-BG"/>
              </w:rPr>
              <w:t xml:space="preserve">Измерение 7 </w:t>
            </w:r>
            <w:r w:rsidR="00065A28">
              <w:rPr>
                <w:rFonts w:ascii="Times New Roman" w:eastAsia="Times New Roman" w:hAnsi="Times New Roman"/>
                <w:b/>
                <w:sz w:val="24"/>
                <w:szCs w:val="24"/>
                <w:lang w:eastAsia="bg-BG"/>
              </w:rPr>
              <w:t xml:space="preserve">- </w:t>
            </w:r>
            <w:r w:rsidR="00720814">
              <w:rPr>
                <w:rFonts w:ascii="Times New Roman" w:eastAsia="Times New Roman" w:hAnsi="Times New Roman"/>
                <w:b/>
                <w:sz w:val="24"/>
                <w:szCs w:val="24"/>
                <w:lang w:eastAsia="bg-BG"/>
              </w:rPr>
              <w:t>Икономическа дейност:</w:t>
            </w:r>
            <w:r w:rsidR="00621659">
              <w:rPr>
                <w:rFonts w:ascii="Times New Roman" w:eastAsia="Times New Roman" w:hAnsi="Times New Roman"/>
                <w:b/>
                <w:sz w:val="24"/>
                <w:szCs w:val="24"/>
                <w:lang w:eastAsia="bg-BG"/>
              </w:rPr>
              <w:t xml:space="preserve"> </w:t>
            </w:r>
            <w:r w:rsidR="00621659" w:rsidRPr="00621659">
              <w:rPr>
                <w:rFonts w:ascii="Times New Roman" w:eastAsia="Times New Roman" w:hAnsi="Times New Roman"/>
                <w:sz w:val="24"/>
                <w:szCs w:val="24"/>
                <w:lang w:eastAsia="bg-BG"/>
              </w:rPr>
              <w:t>Код</w:t>
            </w:r>
            <w:r w:rsidR="00720814" w:rsidRPr="00621659">
              <w:rPr>
                <w:rFonts w:ascii="Times New Roman" w:eastAsia="Times New Roman" w:hAnsi="Times New Roman"/>
                <w:sz w:val="24"/>
                <w:szCs w:val="24"/>
                <w:lang w:eastAsia="bg-BG"/>
              </w:rPr>
              <w:t xml:space="preserve"> 03 – 0</w:t>
            </w:r>
            <w:r w:rsidRPr="00621659">
              <w:rPr>
                <w:rFonts w:ascii="Times New Roman" w:eastAsia="Times New Roman" w:hAnsi="Times New Roman"/>
                <w:sz w:val="24"/>
                <w:szCs w:val="24"/>
                <w:lang w:eastAsia="bg-BG"/>
              </w:rPr>
              <w:t>7</w:t>
            </w:r>
          </w:p>
        </w:tc>
      </w:tr>
    </w:tbl>
    <w:p w14:paraId="5F9614FD" w14:textId="77777777" w:rsidR="00330471" w:rsidRDefault="00330471" w:rsidP="007570DC">
      <w:pPr>
        <w:pStyle w:val="Heading1"/>
      </w:pPr>
      <w:bookmarkStart w:id="8" w:name="_Toc445385566"/>
    </w:p>
    <w:p w14:paraId="10A60B4E" w14:textId="77777777" w:rsidR="00C338A6" w:rsidRPr="007713C1" w:rsidRDefault="00C338A6" w:rsidP="007570DC">
      <w:pPr>
        <w:pStyle w:val="Heading1"/>
      </w:pPr>
      <w:r w:rsidRPr="007713C1">
        <w:t>5. Териториален обхват:</w:t>
      </w:r>
      <w:bookmarkEnd w:id="8"/>
    </w:p>
    <w:p w14:paraId="4D0C79E4" w14:textId="77777777" w:rsidR="00CB14EE" w:rsidRDefault="0022158A"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330471">
        <w:rPr>
          <w:rFonts w:ascii="Times New Roman" w:hAnsi="Times New Roman"/>
          <w:sz w:val="24"/>
          <w:szCs w:val="24"/>
        </w:rPr>
        <w:t>Дейностите по проектите следва да се изпълняват на т</w:t>
      </w:r>
      <w:r w:rsidR="001F6F10" w:rsidRPr="00330471">
        <w:rPr>
          <w:rFonts w:ascii="Times New Roman" w:hAnsi="Times New Roman"/>
          <w:sz w:val="24"/>
          <w:szCs w:val="24"/>
        </w:rPr>
        <w:t xml:space="preserve">ериторията на </w:t>
      </w:r>
      <w:r w:rsidR="00345F64" w:rsidRPr="00330471">
        <w:rPr>
          <w:rFonts w:ascii="Times New Roman" w:hAnsi="Times New Roman"/>
          <w:sz w:val="24"/>
          <w:szCs w:val="24"/>
        </w:rPr>
        <w:t xml:space="preserve"> МИГ „Лясковец – Стражица”</w:t>
      </w:r>
      <w:r w:rsidR="001F6F10" w:rsidRPr="00330471">
        <w:rPr>
          <w:rFonts w:ascii="Times New Roman" w:hAnsi="Times New Roman"/>
          <w:sz w:val="24"/>
          <w:szCs w:val="24"/>
        </w:rPr>
        <w:t>.</w:t>
      </w:r>
    </w:p>
    <w:p w14:paraId="72ACEF66" w14:textId="77777777" w:rsidR="009567B0" w:rsidRPr="00330471" w:rsidRDefault="009567B0"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6F691882" w14:textId="77777777" w:rsidR="009567B0" w:rsidRPr="00396CB7" w:rsidRDefault="009567B0" w:rsidP="009567B0">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szCs w:val="24"/>
        </w:rPr>
      </w:pPr>
      <w:r w:rsidRPr="00AF6B00">
        <w:rPr>
          <w:rFonts w:ascii="Times New Roman" w:hAnsi="Times New Roman"/>
          <w:sz w:val="24"/>
          <w:szCs w:val="24"/>
          <w:u w:val="single"/>
        </w:rPr>
        <w:t>Територията на община Лясковец</w:t>
      </w:r>
      <w:r>
        <w:rPr>
          <w:rFonts w:ascii="Times New Roman" w:hAnsi="Times New Roman"/>
          <w:sz w:val="24"/>
          <w:szCs w:val="24"/>
        </w:rPr>
        <w:t xml:space="preserve"> включва следните кметства: </w:t>
      </w:r>
      <w:r w:rsidRPr="00575B56">
        <w:rPr>
          <w:rFonts w:ascii="Times New Roman" w:hAnsi="Times New Roman"/>
          <w:bCs/>
          <w:sz w:val="24"/>
          <w:szCs w:val="24"/>
        </w:rPr>
        <w:t>Джулюница</w:t>
      </w:r>
      <w:r>
        <w:rPr>
          <w:rFonts w:ascii="Times New Roman" w:hAnsi="Times New Roman"/>
          <w:bCs/>
          <w:sz w:val="24"/>
          <w:szCs w:val="24"/>
        </w:rPr>
        <w:t xml:space="preserve">, </w:t>
      </w:r>
      <w:r w:rsidRPr="00396CB7">
        <w:rPr>
          <w:rFonts w:ascii="Times New Roman" w:hAnsi="Times New Roman"/>
          <w:bCs/>
          <w:sz w:val="24"/>
          <w:szCs w:val="24"/>
        </w:rPr>
        <w:t> </w:t>
      </w:r>
      <w:r w:rsidRPr="00575B56">
        <w:rPr>
          <w:rFonts w:ascii="Times New Roman" w:hAnsi="Times New Roman"/>
          <w:bCs/>
          <w:sz w:val="24"/>
          <w:szCs w:val="24"/>
        </w:rPr>
        <w:t>Добри дял, Драгижево, Козаревец, Мерданя.</w:t>
      </w:r>
    </w:p>
    <w:p w14:paraId="2DDE2831" w14:textId="77777777" w:rsidR="009567B0" w:rsidRDefault="009567B0" w:rsidP="009567B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Cs/>
          <w:sz w:val="24"/>
          <w:szCs w:val="24"/>
        </w:rPr>
      </w:pPr>
      <w:r w:rsidRPr="00AF6B00">
        <w:rPr>
          <w:rFonts w:ascii="Times New Roman" w:hAnsi="Times New Roman"/>
          <w:sz w:val="24"/>
          <w:szCs w:val="24"/>
          <w:u w:val="single"/>
        </w:rPr>
        <w:t>Територията на община Стражица</w:t>
      </w:r>
      <w:r w:rsidRPr="00396CB7">
        <w:rPr>
          <w:rFonts w:ascii="Times New Roman" w:hAnsi="Times New Roman"/>
          <w:sz w:val="24"/>
          <w:szCs w:val="24"/>
        </w:rPr>
        <w:t xml:space="preserve"> включва следните кметства</w:t>
      </w:r>
      <w:r>
        <w:rPr>
          <w:rFonts w:ascii="Times New Roman" w:hAnsi="Times New Roman"/>
          <w:sz w:val="24"/>
          <w:szCs w:val="24"/>
        </w:rPr>
        <w:t xml:space="preserve"> и кметски наместничества</w:t>
      </w:r>
      <w:r w:rsidRPr="00396CB7">
        <w:rPr>
          <w:rFonts w:ascii="Times New Roman" w:hAnsi="Times New Roman"/>
          <w:sz w:val="24"/>
          <w:szCs w:val="24"/>
        </w:rPr>
        <w:t>:</w:t>
      </w:r>
      <w:r>
        <w:rPr>
          <w:rFonts w:ascii="Times New Roman" w:hAnsi="Times New Roman"/>
          <w:sz w:val="24"/>
          <w:szCs w:val="24"/>
        </w:rPr>
        <w:t xml:space="preserve"> </w:t>
      </w:r>
      <w:r w:rsidRPr="00575B56">
        <w:rPr>
          <w:rFonts w:ascii="Times New Roman" w:hAnsi="Times New Roman"/>
          <w:bCs/>
          <w:sz w:val="24"/>
          <w:szCs w:val="24"/>
        </w:rPr>
        <w:t>Асеново, Балканци, Благоево, Бряговица, Виноград, Владислав, Горски Сеновец, Камен, Кесарево, Лозен, Мирово, Нова Върбовка, Сушица, Царски извор, Водно, Кавлак, Николаево, Ново Градище, Теменуга, Железарци, Любенци.</w:t>
      </w:r>
    </w:p>
    <w:p w14:paraId="3EB8A81B" w14:textId="77777777" w:rsidR="009567B0" w:rsidRPr="00396CB7" w:rsidRDefault="009567B0" w:rsidP="009567B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4D15F883" w14:textId="77777777" w:rsidR="00330471" w:rsidRPr="007713C1" w:rsidRDefault="00330471"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p>
    <w:p w14:paraId="5EEB9839" w14:textId="77777777" w:rsidR="00BA0A9F" w:rsidRPr="007713C1" w:rsidRDefault="00C338A6" w:rsidP="007570DC">
      <w:pPr>
        <w:pStyle w:val="Heading1"/>
      </w:pPr>
      <w:bookmarkStart w:id="9" w:name="_Toc445385567"/>
      <w:r w:rsidRPr="007713C1">
        <w:t>6. Цели на предоставяната безвъзмездна финансова помощ по процедурата и очаквани резултати:</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BA0A9F" w:rsidRPr="006F3B87" w14:paraId="05E31F2A" w14:textId="77777777">
        <w:tc>
          <w:tcPr>
            <w:tcW w:w="9496" w:type="dxa"/>
          </w:tcPr>
          <w:p w14:paraId="0F3BAC5C" w14:textId="77777777" w:rsidR="00BA0A9F" w:rsidRPr="00727FB7" w:rsidRDefault="00BA0A9F" w:rsidP="008F724D">
            <w:pPr>
              <w:pStyle w:val="ListParagraph"/>
              <w:spacing w:before="120" w:after="120" w:line="240" w:lineRule="auto"/>
              <w:ind w:left="0"/>
              <w:jc w:val="both"/>
              <w:rPr>
                <w:rFonts w:ascii="Times New Roman" w:eastAsia="Times New Roman" w:hAnsi="Times New Roman"/>
                <w:b/>
                <w:sz w:val="24"/>
                <w:szCs w:val="24"/>
                <w:lang w:eastAsia="bg-BG"/>
              </w:rPr>
            </w:pPr>
            <w:r w:rsidRPr="00727FB7">
              <w:rPr>
                <w:rFonts w:ascii="Times New Roman" w:eastAsia="Times New Roman" w:hAnsi="Times New Roman"/>
                <w:b/>
                <w:sz w:val="24"/>
                <w:szCs w:val="24"/>
                <w:lang w:eastAsia="bg-BG"/>
              </w:rPr>
              <w:t>Цел на процедурата:</w:t>
            </w:r>
          </w:p>
          <w:p w14:paraId="7F4FFD3D" w14:textId="77777777" w:rsidR="000B00EC" w:rsidRPr="007E4ACD" w:rsidRDefault="000B00EC" w:rsidP="008F724D">
            <w:pPr>
              <w:spacing w:after="0" w:line="276" w:lineRule="auto"/>
              <w:jc w:val="both"/>
              <w:rPr>
                <w:rFonts w:ascii="Times New Roman" w:eastAsia="Times New Roman" w:hAnsi="Times New Roman"/>
                <w:sz w:val="24"/>
                <w:szCs w:val="24"/>
                <w:lang w:eastAsia="bg-BG"/>
              </w:rPr>
            </w:pPr>
            <w:r w:rsidRPr="007E4ACD">
              <w:rPr>
                <w:rFonts w:ascii="Times New Roman" w:eastAsia="Times New Roman" w:hAnsi="Times New Roman"/>
                <w:sz w:val="24"/>
                <w:szCs w:val="24"/>
                <w:lang w:eastAsia="bg-BG"/>
              </w:rPr>
              <w:t xml:space="preserve">Настоящата процедура има за цел да подобри работната среда в преработвателните предприятия на територията на общините Лясковец и Стражица, чрез  осигуряване на безопасни условия на труд, подобрен здравен статус и въведени нови системи, практики и инструменти за подобряване на организацията и условията на труд, което от своя страна ще подобри качеството на работните места и ще рефлектира положително върху производителността на труда в предприятията. </w:t>
            </w:r>
          </w:p>
          <w:p w14:paraId="3AB319BA" w14:textId="77777777" w:rsidR="008C1816" w:rsidRPr="007E4ACD" w:rsidRDefault="00642B66" w:rsidP="008F724D">
            <w:pPr>
              <w:pStyle w:val="ListParagraph"/>
              <w:spacing w:before="120" w:after="120" w:line="240" w:lineRule="auto"/>
              <w:ind w:left="0"/>
              <w:jc w:val="both"/>
              <w:rPr>
                <w:rFonts w:ascii="Times New Roman" w:eastAsia="Times New Roman" w:hAnsi="Times New Roman"/>
                <w:sz w:val="24"/>
                <w:szCs w:val="24"/>
                <w:lang w:eastAsia="bg-BG"/>
              </w:rPr>
            </w:pPr>
            <w:r w:rsidRPr="007E4ACD">
              <w:rPr>
                <w:rFonts w:ascii="Times New Roman" w:eastAsia="Times New Roman" w:hAnsi="Times New Roman"/>
                <w:sz w:val="24"/>
                <w:szCs w:val="24"/>
                <w:lang w:eastAsia="bg-BG"/>
              </w:rPr>
              <w:t>Операцията също така цели да насърчи географската мобилност на работната сила като подкрепи работодателите чрез осигуряване на транспорт на наетите в предприятията лица, вкл. с цел запазване на тяхната заетост и повишаване нивата на устойчива заетост, когато работното място е извън населеното място на тяхната месторабота</w:t>
            </w:r>
          </w:p>
          <w:p w14:paraId="03EEC51F" w14:textId="77777777" w:rsidR="00BA0A9F" w:rsidRPr="00727FB7" w:rsidRDefault="008C1816" w:rsidP="008F724D">
            <w:pPr>
              <w:pStyle w:val="ListParagraph"/>
              <w:spacing w:before="120" w:after="120" w:line="240" w:lineRule="auto"/>
              <w:ind w:left="0"/>
              <w:jc w:val="both"/>
              <w:rPr>
                <w:rFonts w:ascii="Times New Roman" w:eastAsia="Times New Roman" w:hAnsi="Times New Roman"/>
                <w:b/>
                <w:sz w:val="24"/>
                <w:szCs w:val="24"/>
                <w:lang w:eastAsia="bg-BG"/>
              </w:rPr>
            </w:pPr>
            <w:r w:rsidRPr="007F3C65">
              <w:rPr>
                <w:rFonts w:ascii="Times New Roman" w:eastAsia="Times New Roman" w:hAnsi="Times New Roman"/>
                <w:sz w:val="24"/>
                <w:szCs w:val="24"/>
                <w:lang w:eastAsia="bg-BG"/>
              </w:rPr>
              <w:t xml:space="preserve">Операцията </w:t>
            </w:r>
            <w:r w:rsidRPr="008B4DFE">
              <w:rPr>
                <w:rFonts w:ascii="Times New Roman" w:eastAsia="Times New Roman" w:hAnsi="Times New Roman"/>
                <w:sz w:val="24"/>
                <w:szCs w:val="24"/>
                <w:lang w:eastAsia="bg-BG"/>
              </w:rPr>
              <w:t>допълва мерките</w:t>
            </w:r>
            <w:r w:rsidRPr="007F3C65">
              <w:rPr>
                <w:rFonts w:ascii="Times New Roman" w:eastAsia="Times New Roman" w:hAnsi="Times New Roman"/>
                <w:sz w:val="24"/>
                <w:szCs w:val="24"/>
                <w:lang w:eastAsia="bg-BG"/>
              </w:rPr>
              <w:t xml:space="preserve"> на пазара на труда, реализирани по Оперативна програма „Развитие на човешките ресурси” 2014-2020 г. и такива финансирани в изпълнение на Националния план за действие по заетостта за съответната година. Настоящата схема допълва и надгражда мерки, реализирани по Оперативна програма „Развитие на човешките ресурси” 2007-2013 г. </w:t>
            </w:r>
          </w:p>
          <w:p w14:paraId="7A0CF3D9" w14:textId="77777777" w:rsidR="00BA0A9F" w:rsidRDefault="00BA0A9F" w:rsidP="008F724D">
            <w:pPr>
              <w:pStyle w:val="ListParagraph"/>
              <w:spacing w:before="120" w:after="120" w:line="240" w:lineRule="auto"/>
              <w:ind w:left="0"/>
              <w:jc w:val="both"/>
              <w:rPr>
                <w:rFonts w:ascii="Times New Roman" w:eastAsia="Times New Roman" w:hAnsi="Times New Roman"/>
                <w:b/>
                <w:sz w:val="24"/>
                <w:szCs w:val="24"/>
                <w:lang w:eastAsia="bg-BG"/>
              </w:rPr>
            </w:pPr>
            <w:r w:rsidRPr="00727FB7">
              <w:rPr>
                <w:rFonts w:ascii="Times New Roman" w:eastAsia="Times New Roman" w:hAnsi="Times New Roman"/>
                <w:b/>
                <w:sz w:val="24"/>
                <w:szCs w:val="24"/>
                <w:lang w:eastAsia="bg-BG"/>
              </w:rPr>
              <w:t>Обосновка:</w:t>
            </w:r>
          </w:p>
          <w:p w14:paraId="5DF3D7DF" w14:textId="77777777" w:rsidR="000B00EC" w:rsidRDefault="000B00EC" w:rsidP="000B00EC">
            <w:pPr>
              <w:pStyle w:val="ListParagraph"/>
              <w:spacing w:before="120" w:after="120" w:line="240" w:lineRule="auto"/>
              <w:ind w:left="0"/>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 xml:space="preserve"> Процедурата се реализира в рамките на  </w:t>
            </w:r>
            <w:r w:rsidRPr="00727FB7">
              <w:rPr>
                <w:rFonts w:ascii="Times New Roman" w:eastAsia="Times New Roman" w:hAnsi="Times New Roman"/>
                <w:sz w:val="24"/>
                <w:szCs w:val="24"/>
                <w:lang w:eastAsia="bg-BG"/>
              </w:rPr>
              <w:t>Приоритетна ос 1 „Подобряване достъпа до заетост и качеството на работните места”</w:t>
            </w:r>
            <w:r w:rsidR="005B2C7D">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и обхваща следните инвестиционни приоритети и специфични цели:</w:t>
            </w:r>
          </w:p>
          <w:p w14:paraId="6EAD7295" w14:textId="77777777" w:rsidR="000B00EC" w:rsidRDefault="008C1816" w:rsidP="000B00EC">
            <w:pPr>
              <w:pStyle w:val="ListParagraph"/>
              <w:spacing w:before="120" w:after="120" w:line="240"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0B00EC" w:rsidRPr="00727FB7">
              <w:rPr>
                <w:rFonts w:ascii="Times New Roman" w:eastAsia="Times New Roman" w:hAnsi="Times New Roman"/>
                <w:sz w:val="24"/>
                <w:szCs w:val="24"/>
                <w:lang w:eastAsia="bg-BG"/>
              </w:rPr>
              <w:t>Инвестиционен приоритет 7 „Приспособяване на работниците, предприятията и предприемачите към промените” на ОПРЧР 2014 – 2020 г</w:t>
            </w:r>
            <w:r w:rsidR="000B00EC">
              <w:rPr>
                <w:rFonts w:ascii="Times New Roman" w:eastAsia="Times New Roman" w:hAnsi="Times New Roman"/>
                <w:sz w:val="24"/>
                <w:szCs w:val="24"/>
                <w:lang w:eastAsia="bg-BG"/>
              </w:rPr>
              <w:t>.</w:t>
            </w:r>
          </w:p>
          <w:p w14:paraId="0F119F8A" w14:textId="77777777" w:rsidR="000B00EC" w:rsidRPr="00727FB7" w:rsidRDefault="008C1816" w:rsidP="000B00EC">
            <w:pPr>
              <w:pStyle w:val="ListParagraph"/>
              <w:spacing w:before="120" w:after="120" w:line="240" w:lineRule="auto"/>
              <w:ind w:left="0"/>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lastRenderedPageBreak/>
              <w:t xml:space="preserve">         </w:t>
            </w:r>
            <w:r w:rsidR="000B00EC" w:rsidRPr="007E6EE5">
              <w:rPr>
                <w:rFonts w:ascii="Times New Roman" w:eastAsia="Times New Roman" w:hAnsi="Times New Roman"/>
                <w:sz w:val="24"/>
                <w:szCs w:val="24"/>
                <w:lang w:eastAsia="bg-BG"/>
              </w:rPr>
              <w:t>Специфична цел 1 „Увеличаване броя на обхванатите заети в предприятията с въведени нови системи, практики и инструменти за развитие на човешките ресурси и подобряване на организацията и условията на труд“.</w:t>
            </w:r>
          </w:p>
          <w:p w14:paraId="322229B4" w14:textId="77777777" w:rsidR="004A7422" w:rsidRPr="00210955" w:rsidRDefault="008C1816" w:rsidP="00F267B3">
            <w:pPr>
              <w:spacing w:after="0" w:line="276" w:lineRule="auto"/>
              <w:jc w:val="both"/>
              <w:rPr>
                <w:rFonts w:ascii="Times New Roman" w:hAnsi="Times New Roman"/>
                <w:sz w:val="24"/>
                <w:szCs w:val="24"/>
              </w:rPr>
            </w:pPr>
            <w:r>
              <w:rPr>
                <w:rFonts w:ascii="Times New Roman" w:eastAsia="Times New Roman" w:hAnsi="Times New Roman"/>
                <w:b/>
                <w:sz w:val="24"/>
                <w:szCs w:val="24"/>
                <w:lang w:eastAsia="bg-BG"/>
              </w:rPr>
              <w:t xml:space="preserve">        </w:t>
            </w:r>
            <w:r w:rsidR="0091525F">
              <w:rPr>
                <w:rFonts w:ascii="Times New Roman" w:eastAsia="Times New Roman" w:hAnsi="Times New Roman"/>
                <w:i/>
                <w:sz w:val="24"/>
                <w:szCs w:val="24"/>
                <w:lang w:eastAsia="bg-BG"/>
              </w:rPr>
              <w:t xml:space="preserve"> </w:t>
            </w:r>
            <w:r w:rsidR="0064371D" w:rsidRPr="002438BB">
              <w:rPr>
                <w:rFonts w:ascii="Times New Roman" w:hAnsi="Times New Roman"/>
                <w:sz w:val="24"/>
                <w:szCs w:val="24"/>
              </w:rPr>
              <w:t>Едни от начините за постигане на напредък в тази посока са въвеждането на нови организационни модели и системи за управление на човешките ресурси и инвестициите в безопасни и здравословни условия на труд.</w:t>
            </w:r>
            <w:r w:rsidR="00A405AB">
              <w:rPr>
                <w:rFonts w:ascii="Times New Roman" w:hAnsi="Times New Roman"/>
                <w:sz w:val="24"/>
                <w:szCs w:val="24"/>
                <w:lang w:val="en-US"/>
              </w:rPr>
              <w:t xml:space="preserve"> </w:t>
            </w:r>
            <w:r w:rsidR="004A7422">
              <w:rPr>
                <w:rFonts w:ascii="Times New Roman" w:hAnsi="Times New Roman"/>
                <w:sz w:val="24"/>
                <w:szCs w:val="24"/>
              </w:rPr>
              <w:t xml:space="preserve">Необходимостта от реализирането на процедурата на територията на община Стражица и община Лясковец се налага от идентифицираните в СВОМР проблеми, свързани с недостъпна работна среда </w:t>
            </w:r>
            <w:r w:rsidR="004A7422" w:rsidRPr="004A7422">
              <w:rPr>
                <w:rFonts w:ascii="Times New Roman" w:hAnsi="Times New Roman"/>
                <w:sz w:val="24"/>
                <w:szCs w:val="24"/>
              </w:rPr>
              <w:t xml:space="preserve">в преработвателните предприятия на територията на общините Лясковец и Стражица, </w:t>
            </w:r>
            <w:r w:rsidR="004A7422">
              <w:rPr>
                <w:rFonts w:ascii="Times New Roman" w:hAnsi="Times New Roman"/>
                <w:sz w:val="24"/>
                <w:szCs w:val="24"/>
              </w:rPr>
              <w:t xml:space="preserve">които водят до напускане на квалифицирани служители и невъзможност за задържане на младите хора, които предпочитат по – добрите условия на труд, осигурени в големите градове и чужбина. </w:t>
            </w:r>
            <w:r w:rsidR="00710E2A">
              <w:rPr>
                <w:rFonts w:ascii="Times New Roman" w:hAnsi="Times New Roman"/>
                <w:sz w:val="24"/>
                <w:szCs w:val="24"/>
              </w:rPr>
              <w:t xml:space="preserve"> Гъвкавите форми на заетост  могат да допренесат </w:t>
            </w:r>
            <w:r w:rsidR="007E4ACD">
              <w:rPr>
                <w:rFonts w:ascii="Times New Roman" w:hAnsi="Times New Roman"/>
                <w:sz w:val="24"/>
                <w:szCs w:val="24"/>
              </w:rPr>
              <w:t xml:space="preserve">и </w:t>
            </w:r>
            <w:r w:rsidR="00710E2A">
              <w:rPr>
                <w:rFonts w:ascii="Times New Roman" w:hAnsi="Times New Roman"/>
                <w:sz w:val="24"/>
                <w:szCs w:val="24"/>
              </w:rPr>
              <w:t xml:space="preserve">за по –дългото оставане в заетостта на по-възрастните работници и служители. </w:t>
            </w:r>
          </w:p>
          <w:p w14:paraId="63A6BD8C" w14:textId="77777777" w:rsidR="004A7422" w:rsidRDefault="004A7422" w:rsidP="00F267B3">
            <w:pPr>
              <w:spacing w:after="0" w:line="276" w:lineRule="auto"/>
              <w:jc w:val="both"/>
              <w:rPr>
                <w:rFonts w:ascii="Times New Roman" w:hAnsi="Times New Roman"/>
                <w:sz w:val="24"/>
                <w:szCs w:val="24"/>
                <w:lang w:val="en-US"/>
              </w:rPr>
            </w:pPr>
          </w:p>
          <w:p w14:paraId="0EC297ED" w14:textId="77777777" w:rsidR="00F267B3" w:rsidRPr="00210955" w:rsidRDefault="00F267B3" w:rsidP="00F267B3">
            <w:pPr>
              <w:spacing w:after="0" w:line="276" w:lineRule="auto"/>
              <w:jc w:val="both"/>
              <w:rPr>
                <w:rFonts w:ascii="Times New Roman" w:hAnsi="Times New Roman"/>
                <w:sz w:val="24"/>
                <w:szCs w:val="24"/>
              </w:rPr>
            </w:pPr>
            <w:r w:rsidRPr="00210955">
              <w:rPr>
                <w:rFonts w:ascii="Times New Roman" w:hAnsi="Times New Roman"/>
                <w:sz w:val="24"/>
                <w:szCs w:val="24"/>
              </w:rPr>
              <w:t>Голяма част от предприятията в страната</w:t>
            </w:r>
            <w:r w:rsidR="005A1F17" w:rsidRPr="00210955">
              <w:rPr>
                <w:rFonts w:ascii="Times New Roman" w:hAnsi="Times New Roman"/>
                <w:sz w:val="24"/>
                <w:szCs w:val="24"/>
              </w:rPr>
              <w:t>,</w:t>
            </w:r>
            <w:r w:rsidR="005A1F17" w:rsidRPr="00210955">
              <w:rPr>
                <w:rFonts w:ascii="Times New Roman" w:hAnsi="Times New Roman"/>
                <w:sz w:val="24"/>
                <w:szCs w:val="24"/>
                <w:lang w:eastAsia="x-none"/>
              </w:rPr>
              <w:t xml:space="preserve"> </w:t>
            </w:r>
            <w:r w:rsidR="005A1F17" w:rsidRPr="00210955">
              <w:rPr>
                <w:rFonts w:ascii="Times New Roman" w:hAnsi="Times New Roman"/>
                <w:sz w:val="24"/>
                <w:szCs w:val="24"/>
                <w:lang w:val="x-none"/>
              </w:rPr>
              <w:t>в това число и на територията на общините Лясковец – Стражица</w:t>
            </w:r>
            <w:r w:rsidR="005A1F17" w:rsidRPr="00210955">
              <w:rPr>
                <w:rFonts w:ascii="Times New Roman" w:hAnsi="Times New Roman"/>
                <w:sz w:val="24"/>
                <w:szCs w:val="24"/>
              </w:rPr>
              <w:t xml:space="preserve"> </w:t>
            </w:r>
            <w:r w:rsidRPr="00210955">
              <w:rPr>
                <w:rFonts w:ascii="Times New Roman" w:hAnsi="Times New Roman"/>
                <w:sz w:val="24"/>
                <w:szCs w:val="24"/>
              </w:rPr>
              <w:t>изпитват трудности за осигуряване на свободни финансови средства за организиран транспорт на тази част от техния персонал, която живее в населени места, различни от това, в което е разположено предприятието. Предвид и икономическата криза и ръстът на бедност в община Стражица и община Лясковец  много хора са изправени пред невъзможността да осигуряват за собствена сметка придвижването си от и до работното място. В редица случаи тези хора са принудени да напуснат работа и да търсят алтернатива за работа. За преодоляване на тези проблеми в община Стражица и община Лясковец, по настоящата процедура ще бъде предоставяна целева подкрепа за заети лица и работодатели, което ще допринесе за повишаване нивата на устойчива заетост и за запазване на работните места.</w:t>
            </w:r>
          </w:p>
          <w:p w14:paraId="5A4B206F" w14:textId="77777777" w:rsidR="00710E2A" w:rsidRPr="004758F2" w:rsidRDefault="00710E2A" w:rsidP="00F267B3">
            <w:pPr>
              <w:spacing w:after="0" w:line="276" w:lineRule="auto"/>
              <w:jc w:val="both"/>
              <w:rPr>
                <w:rFonts w:ascii="Times New Roman" w:hAnsi="Times New Roman"/>
                <w:sz w:val="24"/>
                <w:szCs w:val="24"/>
                <w:lang w:val="x-none"/>
              </w:rPr>
            </w:pPr>
            <w:r w:rsidRPr="00210955">
              <w:rPr>
                <w:rFonts w:ascii="Times New Roman" w:hAnsi="Times New Roman"/>
                <w:sz w:val="24"/>
                <w:szCs w:val="24"/>
              </w:rPr>
              <w:t xml:space="preserve">Въвеждането на мерки за подобряване условията на труд, системи за отчитане производителността, гъвкави форми на заетост и др.е начин повече хора да останат да работят в община </w:t>
            </w:r>
            <w:r w:rsidR="004758F2">
              <w:rPr>
                <w:rFonts w:ascii="Times New Roman" w:hAnsi="Times New Roman"/>
                <w:sz w:val="24"/>
                <w:szCs w:val="24"/>
              </w:rPr>
              <w:t>С</w:t>
            </w:r>
            <w:r w:rsidRPr="004758F2">
              <w:rPr>
                <w:rFonts w:ascii="Times New Roman" w:hAnsi="Times New Roman"/>
                <w:sz w:val="24"/>
                <w:szCs w:val="24"/>
              </w:rPr>
              <w:t>тражица и община Лясковец, както и да бъдат привлечени работници от съседни населени места.</w:t>
            </w:r>
          </w:p>
          <w:p w14:paraId="0F282B27" w14:textId="77777777" w:rsidR="004D3A46" w:rsidRPr="009B6B84" w:rsidRDefault="004D3A46" w:rsidP="00DB6B2A">
            <w:pPr>
              <w:spacing w:after="0" w:line="276" w:lineRule="auto"/>
              <w:jc w:val="both"/>
              <w:rPr>
                <w:rFonts w:ascii="Times New Roman" w:eastAsia="Times New Roman" w:hAnsi="Times New Roman"/>
                <w:color w:val="000000"/>
                <w:sz w:val="24"/>
                <w:szCs w:val="24"/>
                <w:lang w:eastAsia="bg-BG"/>
              </w:rPr>
            </w:pPr>
          </w:p>
          <w:p w14:paraId="130C2F11" w14:textId="77777777" w:rsidR="003D4610" w:rsidRPr="00727FB7" w:rsidRDefault="003D4610" w:rsidP="008F724D">
            <w:pPr>
              <w:pStyle w:val="ListParagraph"/>
              <w:spacing w:before="120" w:after="120" w:line="240" w:lineRule="auto"/>
              <w:ind w:left="0"/>
              <w:jc w:val="both"/>
              <w:rPr>
                <w:rFonts w:ascii="Times New Roman" w:eastAsia="Times New Roman" w:hAnsi="Times New Roman"/>
                <w:b/>
                <w:sz w:val="24"/>
                <w:szCs w:val="24"/>
                <w:lang w:eastAsia="bg-BG"/>
              </w:rPr>
            </w:pPr>
            <w:r w:rsidRPr="00727FB7">
              <w:rPr>
                <w:rFonts w:ascii="Times New Roman" w:eastAsia="Times New Roman" w:hAnsi="Times New Roman"/>
                <w:b/>
                <w:sz w:val="24"/>
                <w:szCs w:val="24"/>
                <w:lang w:eastAsia="bg-BG"/>
              </w:rPr>
              <w:t>Очаквани резултати:</w:t>
            </w:r>
          </w:p>
          <w:p w14:paraId="557665FB" w14:textId="77777777" w:rsidR="00303BC8" w:rsidRPr="00727FB7" w:rsidRDefault="0022158A" w:rsidP="008F724D">
            <w:pPr>
              <w:pStyle w:val="ListParagraph"/>
              <w:spacing w:before="120" w:after="120" w:line="240" w:lineRule="auto"/>
              <w:ind w:left="0"/>
              <w:jc w:val="both"/>
              <w:rPr>
                <w:rFonts w:ascii="Times New Roman" w:eastAsia="Times New Roman" w:hAnsi="Times New Roman"/>
                <w:sz w:val="24"/>
                <w:szCs w:val="24"/>
                <w:lang w:eastAsia="bg-BG"/>
              </w:rPr>
            </w:pPr>
            <w:r w:rsidRPr="00727FB7">
              <w:rPr>
                <w:rFonts w:ascii="Times New Roman" w:eastAsia="Times New Roman" w:hAnsi="Times New Roman"/>
                <w:sz w:val="24"/>
                <w:szCs w:val="24"/>
                <w:lang w:eastAsia="bg-BG"/>
              </w:rPr>
              <w:t>Процедурата ще даде възможност на предприятията да въведат инов</w:t>
            </w:r>
            <w:r w:rsidR="00DB6B2A" w:rsidRPr="00727FB7">
              <w:rPr>
                <w:rFonts w:ascii="Times New Roman" w:eastAsia="Times New Roman" w:hAnsi="Times New Roman"/>
                <w:sz w:val="24"/>
                <w:szCs w:val="24"/>
                <w:lang w:eastAsia="bg-BG"/>
              </w:rPr>
              <w:t>ативни модели за ор</w:t>
            </w:r>
            <w:r w:rsidRPr="00727FB7">
              <w:rPr>
                <w:rFonts w:ascii="Times New Roman" w:eastAsia="Times New Roman" w:hAnsi="Times New Roman"/>
                <w:sz w:val="24"/>
                <w:szCs w:val="24"/>
                <w:lang w:eastAsia="bg-BG"/>
              </w:rPr>
              <w:t>ганизация на труда, насоч</w:t>
            </w:r>
            <w:r w:rsidR="00DB6B2A" w:rsidRPr="00727FB7">
              <w:rPr>
                <w:rFonts w:ascii="Times New Roman" w:eastAsia="Times New Roman" w:hAnsi="Times New Roman"/>
                <w:sz w:val="24"/>
                <w:szCs w:val="24"/>
                <w:lang w:eastAsia="bg-BG"/>
              </w:rPr>
              <w:t>ени към повишаване на производите</w:t>
            </w:r>
            <w:r w:rsidRPr="00727FB7">
              <w:rPr>
                <w:rFonts w:ascii="Times New Roman" w:eastAsia="Times New Roman" w:hAnsi="Times New Roman"/>
                <w:sz w:val="24"/>
                <w:szCs w:val="24"/>
                <w:lang w:eastAsia="bg-BG"/>
              </w:rPr>
              <w:t>лността и опазване на околната среда. Тези мерки са част от подкрепата, която ОП РЧР ще предостави за прехода към икономика</w:t>
            </w:r>
            <w:r w:rsidR="00E5062F">
              <w:rPr>
                <w:rFonts w:ascii="Times New Roman" w:eastAsia="Times New Roman" w:hAnsi="Times New Roman"/>
                <w:sz w:val="24"/>
                <w:szCs w:val="24"/>
                <w:lang w:eastAsia="bg-BG"/>
              </w:rPr>
              <w:t>,</w:t>
            </w:r>
            <w:r w:rsidR="00E5062F" w:rsidRPr="004C03D1">
              <w:rPr>
                <w:rFonts w:ascii="Times New Roman" w:eastAsia="Times New Roman" w:hAnsi="Times New Roman"/>
                <w:sz w:val="24"/>
                <w:szCs w:val="24"/>
                <w:lang w:eastAsia="bg-BG"/>
              </w:rPr>
              <w:t xml:space="preserve"> която е нисковъглеродна, устойчива на изменението на климата, екологично устойчива и използваща ефикасно ресурсите.</w:t>
            </w:r>
            <w:r w:rsidRPr="00727FB7">
              <w:rPr>
                <w:rFonts w:ascii="Times New Roman" w:eastAsia="Times New Roman" w:hAnsi="Times New Roman"/>
                <w:sz w:val="24"/>
                <w:szCs w:val="24"/>
                <w:lang w:eastAsia="bg-BG"/>
              </w:rPr>
              <w:t>.</w:t>
            </w:r>
          </w:p>
          <w:p w14:paraId="3A3340F9" w14:textId="77777777" w:rsidR="00727FB7" w:rsidRPr="0063757D" w:rsidRDefault="00D30084" w:rsidP="00D30084">
            <w:pPr>
              <w:pStyle w:val="ListParagraph"/>
              <w:spacing w:before="120" w:after="120" w:line="240" w:lineRule="auto"/>
              <w:ind w:left="0"/>
              <w:jc w:val="both"/>
              <w:rPr>
                <w:rFonts w:ascii="Times New Roman" w:hAnsi="Times New Roman"/>
                <w:sz w:val="24"/>
                <w:szCs w:val="24"/>
              </w:rPr>
            </w:pPr>
            <w:r w:rsidRPr="0063757D">
              <w:rPr>
                <w:rFonts w:ascii="Times New Roman" w:eastAsia="Times New Roman" w:hAnsi="Times New Roman"/>
                <w:sz w:val="24"/>
                <w:szCs w:val="24"/>
                <w:lang w:eastAsia="bg-BG"/>
              </w:rPr>
              <w:t xml:space="preserve">Прилагането на мярката на територията на </w:t>
            </w:r>
            <w:r w:rsidR="007C3A88" w:rsidRPr="0063757D">
              <w:rPr>
                <w:rFonts w:ascii="Times New Roman" w:eastAsia="Times New Roman" w:hAnsi="Times New Roman"/>
                <w:sz w:val="24"/>
                <w:szCs w:val="24"/>
                <w:lang w:eastAsia="bg-BG"/>
              </w:rPr>
              <w:t>МИГ „Лясковец – Стражица”</w:t>
            </w:r>
            <w:r w:rsidRPr="0063757D">
              <w:rPr>
                <w:rFonts w:ascii="Times New Roman" w:eastAsia="Times New Roman" w:hAnsi="Times New Roman"/>
                <w:sz w:val="24"/>
                <w:szCs w:val="24"/>
                <w:lang w:eastAsia="bg-BG"/>
              </w:rPr>
              <w:t xml:space="preserve"> ще допринесе за </w:t>
            </w:r>
            <w:r w:rsidR="00DB6B2A" w:rsidRPr="0063757D">
              <w:rPr>
                <w:rFonts w:ascii="Times New Roman" w:eastAsia="Times New Roman" w:hAnsi="Times New Roman"/>
                <w:sz w:val="24"/>
                <w:szCs w:val="24"/>
                <w:lang w:eastAsia="bg-BG"/>
              </w:rPr>
              <w:t>повишаване нивата на устойчива заетост и за по-равномерно и балансирано</w:t>
            </w:r>
            <w:r w:rsidRPr="0063757D">
              <w:rPr>
                <w:rFonts w:ascii="Times New Roman" w:eastAsia="Times New Roman" w:hAnsi="Times New Roman"/>
                <w:sz w:val="24"/>
                <w:szCs w:val="24"/>
                <w:lang w:eastAsia="bg-BG"/>
              </w:rPr>
              <w:t xml:space="preserve"> </w:t>
            </w:r>
            <w:r w:rsidR="00DB6B2A" w:rsidRPr="0063757D">
              <w:rPr>
                <w:rFonts w:ascii="Times New Roman" w:eastAsia="Times New Roman" w:hAnsi="Times New Roman"/>
                <w:sz w:val="24"/>
                <w:szCs w:val="24"/>
                <w:lang w:eastAsia="bg-BG"/>
              </w:rPr>
              <w:t>разпределение на специалистите по сектори.</w:t>
            </w:r>
            <w:r w:rsidR="00727FB7" w:rsidRPr="0063757D">
              <w:rPr>
                <w:rFonts w:ascii="Times New Roman" w:hAnsi="Times New Roman"/>
                <w:sz w:val="24"/>
                <w:szCs w:val="24"/>
              </w:rPr>
              <w:t xml:space="preserve"> </w:t>
            </w:r>
          </w:p>
          <w:p w14:paraId="5B5074C9" w14:textId="77777777" w:rsidR="00DB6B2A" w:rsidRPr="0063757D" w:rsidRDefault="00727FB7" w:rsidP="00D30084">
            <w:pPr>
              <w:pStyle w:val="ListParagraph"/>
              <w:spacing w:before="120" w:after="120" w:line="240" w:lineRule="auto"/>
              <w:ind w:left="0"/>
              <w:jc w:val="both"/>
              <w:rPr>
                <w:rFonts w:ascii="Times New Roman" w:eastAsia="Times New Roman" w:hAnsi="Times New Roman"/>
                <w:sz w:val="24"/>
                <w:szCs w:val="24"/>
                <w:lang w:eastAsia="bg-BG"/>
              </w:rPr>
            </w:pPr>
            <w:r w:rsidRPr="0063757D">
              <w:rPr>
                <w:rFonts w:ascii="Times New Roman" w:hAnsi="Times New Roman"/>
                <w:sz w:val="24"/>
                <w:szCs w:val="24"/>
              </w:rPr>
              <w:t xml:space="preserve">Всички посочени по-горе подходи ще допринесат за подобряване на работната среда, организацията и на труд и управлението на човешките ресурси, което от своя страна се </w:t>
            </w:r>
            <w:r w:rsidRPr="0063757D">
              <w:rPr>
                <w:rFonts w:ascii="Times New Roman" w:hAnsi="Times New Roman"/>
                <w:sz w:val="24"/>
                <w:szCs w:val="24"/>
              </w:rPr>
              <w:lastRenderedPageBreak/>
              <w:t>очаква да подобри качеството на работните места и да рефлектира положително върху производителността на труда в предприятията. Условията за труд в предприятията ще бъдат по-адекватни на нуждите на външната икономическа среда и на вътрешните нужди на работниците и служителите в тях.</w:t>
            </w:r>
          </w:p>
          <w:p w14:paraId="389D252D" w14:textId="77777777" w:rsidR="00923483" w:rsidRDefault="00923483" w:rsidP="008F724D">
            <w:pPr>
              <w:pStyle w:val="ListParagraph"/>
              <w:spacing w:before="120" w:after="120" w:line="240" w:lineRule="auto"/>
              <w:ind w:left="0"/>
              <w:jc w:val="both"/>
              <w:rPr>
                <w:rFonts w:ascii="Times New Roman" w:eastAsia="Times New Roman" w:hAnsi="Times New Roman"/>
                <w:b/>
                <w:sz w:val="24"/>
                <w:szCs w:val="24"/>
                <w:lang w:eastAsia="bg-BG"/>
              </w:rPr>
            </w:pPr>
          </w:p>
          <w:p w14:paraId="7FA8073C" w14:textId="77777777" w:rsidR="00303BC8" w:rsidRPr="0063757D" w:rsidRDefault="00303BC8" w:rsidP="008F724D">
            <w:pPr>
              <w:pStyle w:val="ListParagraph"/>
              <w:spacing w:before="120" w:after="120" w:line="240" w:lineRule="auto"/>
              <w:ind w:left="0"/>
              <w:jc w:val="both"/>
              <w:rPr>
                <w:rFonts w:ascii="Times New Roman" w:eastAsia="Times New Roman" w:hAnsi="Times New Roman"/>
                <w:b/>
                <w:sz w:val="24"/>
                <w:szCs w:val="24"/>
                <w:lang w:eastAsia="bg-BG"/>
              </w:rPr>
            </w:pPr>
            <w:r w:rsidRPr="0063757D">
              <w:rPr>
                <w:rFonts w:ascii="Times New Roman" w:eastAsia="Times New Roman" w:hAnsi="Times New Roman"/>
                <w:b/>
                <w:sz w:val="24"/>
                <w:szCs w:val="24"/>
                <w:lang w:eastAsia="bg-BG"/>
              </w:rPr>
              <w:t>Демаркация</w:t>
            </w:r>
            <w:r w:rsidR="00A640DE" w:rsidRPr="0063757D">
              <w:rPr>
                <w:rFonts w:ascii="Times New Roman" w:eastAsia="Times New Roman" w:hAnsi="Times New Roman"/>
                <w:b/>
                <w:sz w:val="24"/>
                <w:szCs w:val="24"/>
                <w:lang w:eastAsia="bg-BG"/>
              </w:rPr>
              <w:t>:</w:t>
            </w:r>
          </w:p>
          <w:p w14:paraId="6C2A8B78" w14:textId="77777777" w:rsidR="003E0FCD" w:rsidRDefault="00D45305" w:rsidP="00D45305">
            <w:pPr>
              <w:pStyle w:val="ListParagraph"/>
              <w:spacing w:before="120" w:after="120" w:line="240" w:lineRule="auto"/>
              <w:ind w:left="0"/>
              <w:jc w:val="both"/>
              <w:rPr>
                <w:rFonts w:ascii="Times New Roman" w:hAnsi="Times New Roman"/>
                <w:sz w:val="24"/>
                <w:szCs w:val="24"/>
              </w:rPr>
            </w:pPr>
            <w:r w:rsidRPr="0063757D">
              <w:rPr>
                <w:rFonts w:ascii="Times New Roman" w:hAnsi="Times New Roman"/>
                <w:sz w:val="24"/>
                <w:szCs w:val="24"/>
              </w:rPr>
              <w:t xml:space="preserve">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проверката на което ще се извършва на ниво индивидуален проект. </w:t>
            </w:r>
          </w:p>
          <w:p w14:paraId="37357268" w14:textId="77777777" w:rsidR="003672D5" w:rsidRDefault="00D45305" w:rsidP="00D45305">
            <w:pPr>
              <w:pStyle w:val="ListParagraph"/>
              <w:spacing w:before="120" w:after="120" w:line="240" w:lineRule="auto"/>
              <w:ind w:left="0"/>
              <w:jc w:val="both"/>
              <w:rPr>
                <w:rFonts w:ascii="Times New Roman" w:hAnsi="Times New Roman"/>
                <w:sz w:val="24"/>
                <w:szCs w:val="24"/>
              </w:rPr>
            </w:pPr>
            <w:r w:rsidRPr="0063757D">
              <w:rPr>
                <w:rFonts w:ascii="Times New Roman" w:hAnsi="Times New Roman"/>
                <w:sz w:val="24"/>
                <w:szCs w:val="24"/>
              </w:rPr>
              <w:t xml:space="preserve">Операцията допълва мерките на пазара на труда, реализирани по Оперативна програма „Развитие на човешките ресурси” 2014-2020 г. и такива финансирани в изпълнение на Националния план за действие по заетостта за съответната година. </w:t>
            </w:r>
          </w:p>
          <w:p w14:paraId="1872C458" w14:textId="77777777" w:rsidR="0022158A" w:rsidRPr="00727FB7" w:rsidRDefault="0022158A" w:rsidP="00D45305">
            <w:pPr>
              <w:pStyle w:val="ListParagraph"/>
              <w:spacing w:before="120" w:after="120" w:line="240" w:lineRule="auto"/>
              <w:ind w:left="0"/>
              <w:jc w:val="both"/>
              <w:rPr>
                <w:rFonts w:ascii="Times New Roman" w:eastAsia="Times New Roman" w:hAnsi="Times New Roman"/>
                <w:b/>
                <w:sz w:val="24"/>
                <w:szCs w:val="24"/>
                <w:lang w:eastAsia="bg-BG"/>
              </w:rPr>
            </w:pPr>
          </w:p>
        </w:tc>
      </w:tr>
    </w:tbl>
    <w:p w14:paraId="752F54C3" w14:textId="77777777" w:rsidR="00821B06" w:rsidRPr="007713C1" w:rsidRDefault="00821B06" w:rsidP="007570DC">
      <w:pPr>
        <w:pStyle w:val="Heading1"/>
      </w:pPr>
      <w:bookmarkStart w:id="10" w:name="_Toc445385568"/>
      <w:r w:rsidRPr="007713C1">
        <w:lastRenderedPageBreak/>
        <w:t>7. Индикатори:</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37199F" w:rsidRPr="008F724D" w14:paraId="18432863" w14:textId="77777777">
        <w:tc>
          <w:tcPr>
            <w:tcW w:w="9496" w:type="dxa"/>
          </w:tcPr>
          <w:p w14:paraId="33D3BA1F" w14:textId="77777777" w:rsidR="0043229B" w:rsidRDefault="0043229B" w:rsidP="008F724D">
            <w:pPr>
              <w:pStyle w:val="ListParagraph"/>
              <w:spacing w:before="120" w:after="120" w:line="240" w:lineRule="auto"/>
              <w:ind w:left="0"/>
              <w:contextualSpacing w:val="0"/>
              <w:jc w:val="both"/>
              <w:rPr>
                <w:rFonts w:ascii="Times New Roman" w:eastAsia="Times New Roman" w:hAnsi="Times New Roman"/>
                <w:b/>
                <w:sz w:val="24"/>
                <w:szCs w:val="24"/>
                <w:lang w:eastAsia="bg-BG"/>
              </w:rPr>
            </w:pPr>
            <w:r w:rsidRPr="0043229B">
              <w:rPr>
                <w:rFonts w:ascii="Times New Roman" w:eastAsia="Times New Roman" w:hAnsi="Times New Roman"/>
                <w:b/>
                <w:sz w:val="24"/>
                <w:szCs w:val="24"/>
                <w:lang w:eastAsia="bg-BG"/>
              </w:rPr>
              <w:t xml:space="preserve">Очаквани индикатори  за изпълнение и за резултат, </w:t>
            </w:r>
            <w:r>
              <w:rPr>
                <w:rFonts w:ascii="Times New Roman" w:eastAsia="Times New Roman" w:hAnsi="Times New Roman"/>
                <w:b/>
                <w:sz w:val="24"/>
                <w:szCs w:val="24"/>
                <w:lang w:eastAsia="bg-BG"/>
              </w:rPr>
              <w:t>формулурани в ОПРЧР: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63"/>
              <w:gridCol w:w="1456"/>
              <w:gridCol w:w="1517"/>
              <w:gridCol w:w="1447"/>
              <w:gridCol w:w="1457"/>
            </w:tblGrid>
            <w:tr w:rsidR="0043229B" w:rsidRPr="008F724D" w14:paraId="18714CE9" w14:textId="77777777" w:rsidTr="00F97F4B">
              <w:trPr>
                <w:trHeight w:val="809"/>
              </w:trPr>
              <w:tc>
                <w:tcPr>
                  <w:tcW w:w="4849" w:type="dxa"/>
                  <w:gridSpan w:val="3"/>
                  <w:shd w:val="clear" w:color="auto" w:fill="CCECFF"/>
                  <w:vAlign w:val="center"/>
                </w:tcPr>
                <w:p w14:paraId="5C9805B6" w14:textId="77777777" w:rsidR="0043229B" w:rsidRPr="008F724D" w:rsidRDefault="0043229B" w:rsidP="00FC6662">
                  <w:pPr>
                    <w:pStyle w:val="ListParagraph"/>
                    <w:spacing w:before="120" w:after="120" w:line="240" w:lineRule="auto"/>
                    <w:ind w:left="0"/>
                    <w:contextualSpacing w:val="0"/>
                    <w:jc w:val="center"/>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ИНДИКАТОРИ ЗА ИЗПЪЛНЕНИЕ</w:t>
                  </w:r>
                </w:p>
              </w:tc>
              <w:tc>
                <w:tcPr>
                  <w:tcW w:w="4421" w:type="dxa"/>
                  <w:gridSpan w:val="3"/>
                  <w:shd w:val="clear" w:color="auto" w:fill="CCECFF"/>
                  <w:vAlign w:val="center"/>
                </w:tcPr>
                <w:p w14:paraId="4F1FF7C6" w14:textId="77777777" w:rsidR="0043229B" w:rsidRPr="008F724D" w:rsidRDefault="0043229B" w:rsidP="00FC6662">
                  <w:pPr>
                    <w:pStyle w:val="ListParagraph"/>
                    <w:spacing w:before="120" w:after="120" w:line="240" w:lineRule="auto"/>
                    <w:ind w:left="0"/>
                    <w:contextualSpacing w:val="0"/>
                    <w:jc w:val="center"/>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ИНДИКАТОРИ ЗА РЕЗУЛТАТ</w:t>
                  </w:r>
                </w:p>
              </w:tc>
            </w:tr>
            <w:tr w:rsidR="006466EF" w:rsidRPr="008F724D" w14:paraId="2BE92000" w14:textId="77777777" w:rsidTr="00F97F4B">
              <w:trPr>
                <w:trHeight w:val="552"/>
              </w:trPr>
              <w:tc>
                <w:tcPr>
                  <w:tcW w:w="1930" w:type="dxa"/>
                </w:tcPr>
                <w:p w14:paraId="4DA04249"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Индикатор</w:t>
                  </w:r>
                </w:p>
              </w:tc>
              <w:tc>
                <w:tcPr>
                  <w:tcW w:w="1463" w:type="dxa"/>
                </w:tcPr>
                <w:p w14:paraId="181BDAD7"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Мерна единица</w:t>
                  </w:r>
                </w:p>
              </w:tc>
              <w:tc>
                <w:tcPr>
                  <w:tcW w:w="1456" w:type="dxa"/>
                </w:tcPr>
                <w:p w14:paraId="7FA7284B"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Целева стойност</w:t>
                  </w:r>
                </w:p>
              </w:tc>
              <w:tc>
                <w:tcPr>
                  <w:tcW w:w="1517" w:type="dxa"/>
                </w:tcPr>
                <w:p w14:paraId="4AC1BC4F"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Индикатор</w:t>
                  </w:r>
                </w:p>
              </w:tc>
              <w:tc>
                <w:tcPr>
                  <w:tcW w:w="1447" w:type="dxa"/>
                </w:tcPr>
                <w:p w14:paraId="0561EE4E"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Мерна единица</w:t>
                  </w:r>
                </w:p>
              </w:tc>
              <w:tc>
                <w:tcPr>
                  <w:tcW w:w="1457" w:type="dxa"/>
                </w:tcPr>
                <w:p w14:paraId="18FFE461"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Целева стойност</w:t>
                  </w:r>
                </w:p>
              </w:tc>
            </w:tr>
            <w:tr w:rsidR="006466EF" w:rsidRPr="008F724D" w14:paraId="5B34D1BB" w14:textId="77777777" w:rsidTr="00F97F4B">
              <w:trPr>
                <w:trHeight w:val="552"/>
              </w:trPr>
              <w:tc>
                <w:tcPr>
                  <w:tcW w:w="1930" w:type="dxa"/>
                </w:tcPr>
                <w:p w14:paraId="297D73C6" w14:textId="77777777" w:rsidR="0043229B" w:rsidRPr="008F724D" w:rsidRDefault="006C717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r w:rsidR="00272336">
                    <w:rPr>
                      <w:rFonts w:ascii="Times New Roman" w:eastAsia="Times New Roman" w:hAnsi="Times New Roman"/>
                      <w:b/>
                      <w:sz w:val="20"/>
                      <w:szCs w:val="20"/>
                      <w:lang w:eastAsia="bg-BG"/>
                    </w:rPr>
                    <w:t>п</w:t>
                  </w:r>
                  <w:r w:rsidR="0043229B">
                    <w:rPr>
                      <w:rFonts w:ascii="Times New Roman" w:eastAsia="Times New Roman" w:hAnsi="Times New Roman"/>
                      <w:b/>
                      <w:sz w:val="20"/>
                      <w:szCs w:val="20"/>
                      <w:lang w:eastAsia="bg-BG"/>
                    </w:rPr>
                    <w:t xml:space="preserve">редприятия, получили подкрепа </w:t>
                  </w:r>
                </w:p>
              </w:tc>
              <w:tc>
                <w:tcPr>
                  <w:tcW w:w="1463" w:type="dxa"/>
                </w:tcPr>
                <w:p w14:paraId="4CCF2941"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p>
              </w:tc>
              <w:tc>
                <w:tcPr>
                  <w:tcW w:w="1456" w:type="dxa"/>
                </w:tcPr>
                <w:p w14:paraId="426E708A" w14:textId="77777777" w:rsidR="0043229B" w:rsidRPr="008F724D" w:rsidRDefault="00C51F35"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3</w:t>
                  </w:r>
                </w:p>
              </w:tc>
              <w:tc>
                <w:tcPr>
                  <w:tcW w:w="1517" w:type="dxa"/>
                </w:tcPr>
                <w:p w14:paraId="21E03461"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Предприятия, въвели нови процеси за безопасни и здравословни условия на труд</w:t>
                  </w:r>
                </w:p>
              </w:tc>
              <w:tc>
                <w:tcPr>
                  <w:tcW w:w="1447" w:type="dxa"/>
                </w:tcPr>
                <w:p w14:paraId="31462356"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p>
              </w:tc>
              <w:tc>
                <w:tcPr>
                  <w:tcW w:w="1457" w:type="dxa"/>
                </w:tcPr>
                <w:p w14:paraId="6AC679A0" w14:textId="77777777" w:rsidR="0043229B" w:rsidRPr="008F724D"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1</w:t>
                  </w:r>
                </w:p>
              </w:tc>
            </w:tr>
            <w:tr w:rsidR="006466EF" w:rsidRPr="008F724D" w14:paraId="77F2EAD1" w14:textId="77777777" w:rsidTr="00F97F4B">
              <w:trPr>
                <w:trHeight w:val="552"/>
              </w:trPr>
              <w:tc>
                <w:tcPr>
                  <w:tcW w:w="1930" w:type="dxa"/>
                </w:tcPr>
                <w:p w14:paraId="145ECE46" w14:textId="77777777" w:rsidR="0043229B" w:rsidRDefault="0043229B" w:rsidP="00C42AAD">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c>
                <w:tcPr>
                  <w:tcW w:w="1463" w:type="dxa"/>
                </w:tcPr>
                <w:p w14:paraId="141C1705" w14:textId="77777777" w:rsidR="0043229B"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c>
                <w:tcPr>
                  <w:tcW w:w="1456" w:type="dxa"/>
                </w:tcPr>
                <w:p w14:paraId="14ABC827"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c>
                <w:tcPr>
                  <w:tcW w:w="1517" w:type="dxa"/>
                </w:tcPr>
                <w:p w14:paraId="1D2A2F86"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Предприятия, въвели нови системи, практики и инструменти за развитие на човешките ресурси и организация на труда.</w:t>
                  </w:r>
                </w:p>
              </w:tc>
              <w:tc>
                <w:tcPr>
                  <w:tcW w:w="1447" w:type="dxa"/>
                </w:tcPr>
                <w:p w14:paraId="766DF9B9" w14:textId="77777777" w:rsidR="0043229B" w:rsidRPr="008F724D" w:rsidRDefault="0043229B"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p>
              </w:tc>
              <w:tc>
                <w:tcPr>
                  <w:tcW w:w="1457" w:type="dxa"/>
                </w:tcPr>
                <w:p w14:paraId="74122A6F" w14:textId="77777777" w:rsidR="0043229B" w:rsidRPr="008F724D"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1</w:t>
                  </w:r>
                </w:p>
              </w:tc>
            </w:tr>
            <w:tr w:rsidR="005131E2" w:rsidRPr="008F724D" w14:paraId="6C825614" w14:textId="77777777" w:rsidTr="00F97F4B">
              <w:trPr>
                <w:trHeight w:val="552"/>
              </w:trPr>
              <w:tc>
                <w:tcPr>
                  <w:tcW w:w="1930" w:type="dxa"/>
                </w:tcPr>
                <w:p w14:paraId="3D2755ED" w14:textId="77777777" w:rsidR="005131E2" w:rsidRDefault="005131E2" w:rsidP="00262BA3">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Заети лица, вкл. самостоятелно заети</w:t>
                  </w:r>
                  <w:r w:rsidDel="006466EF">
                    <w:rPr>
                      <w:rFonts w:ascii="Times New Roman" w:eastAsia="Times New Roman" w:hAnsi="Times New Roman"/>
                      <w:b/>
                      <w:sz w:val="20"/>
                      <w:szCs w:val="20"/>
                      <w:lang w:eastAsia="bg-BG"/>
                    </w:rPr>
                    <w:t xml:space="preserve"> </w:t>
                  </w:r>
                </w:p>
              </w:tc>
              <w:tc>
                <w:tcPr>
                  <w:tcW w:w="1463" w:type="dxa"/>
                </w:tcPr>
                <w:p w14:paraId="291844A2" w14:textId="77777777" w:rsidR="005131E2" w:rsidRDefault="005131E2" w:rsidP="00262BA3">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Брой</w:t>
                  </w:r>
                </w:p>
              </w:tc>
              <w:tc>
                <w:tcPr>
                  <w:tcW w:w="1456" w:type="dxa"/>
                </w:tcPr>
                <w:p w14:paraId="230DC508" w14:textId="77777777" w:rsidR="005131E2" w:rsidRPr="008F724D" w:rsidRDefault="005131E2" w:rsidP="00262BA3">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30</w:t>
                  </w:r>
                </w:p>
              </w:tc>
              <w:tc>
                <w:tcPr>
                  <w:tcW w:w="1517" w:type="dxa"/>
                </w:tcPr>
                <w:p w14:paraId="624C9700" w14:textId="77777777" w:rsidR="005131E2"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c>
                <w:tcPr>
                  <w:tcW w:w="1447" w:type="dxa"/>
                </w:tcPr>
                <w:p w14:paraId="2F49C5B3" w14:textId="77777777" w:rsidR="005131E2"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c>
                <w:tcPr>
                  <w:tcW w:w="1457" w:type="dxa"/>
                </w:tcPr>
                <w:p w14:paraId="3C3230AE" w14:textId="77777777" w:rsidR="005131E2"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r>
            <w:tr w:rsidR="005131E2" w:rsidRPr="008F724D" w14:paraId="6500BD52" w14:textId="77777777" w:rsidTr="00BC6186">
              <w:trPr>
                <w:trHeight w:val="552"/>
              </w:trPr>
              <w:tc>
                <w:tcPr>
                  <w:tcW w:w="9270" w:type="dxa"/>
                  <w:gridSpan w:val="6"/>
                </w:tcPr>
                <w:p w14:paraId="5F2D396C" w14:textId="77777777" w:rsidR="005131E2" w:rsidRPr="008F724D"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sidRPr="00F97F4B">
                    <w:rPr>
                      <w:rFonts w:ascii="Times New Roman" w:eastAsia="Times New Roman" w:hAnsi="Times New Roman"/>
                      <w:b/>
                      <w:sz w:val="20"/>
                      <w:szCs w:val="20"/>
                      <w:lang w:eastAsia="bg-BG"/>
                    </w:rPr>
                    <w:t>Индикатори от СВОМР, специфични за процедурата</w:t>
                  </w:r>
                </w:p>
              </w:tc>
            </w:tr>
            <w:tr w:rsidR="005131E2" w:rsidRPr="008F724D" w14:paraId="01DC5C66" w14:textId="77777777" w:rsidTr="00F97F4B">
              <w:trPr>
                <w:trHeight w:val="552"/>
              </w:trPr>
              <w:tc>
                <w:tcPr>
                  <w:tcW w:w="1930" w:type="dxa"/>
                </w:tcPr>
                <w:p w14:paraId="686BF1DE" w14:textId="77777777" w:rsidR="005131E2" w:rsidRPr="00253BA7" w:rsidRDefault="005131E2" w:rsidP="00253BA7">
                  <w:pPr>
                    <w:pStyle w:val="ListParagraph"/>
                    <w:spacing w:before="120" w:after="120"/>
                    <w:ind w:left="0"/>
                    <w:jc w:val="both"/>
                    <w:rPr>
                      <w:rFonts w:ascii="Times New Roman" w:eastAsia="Times New Roman" w:hAnsi="Times New Roman"/>
                      <w:b/>
                      <w:sz w:val="20"/>
                      <w:szCs w:val="20"/>
                      <w:lang w:eastAsia="bg-BG"/>
                    </w:rPr>
                  </w:pPr>
                  <w:r w:rsidRPr="00253BA7">
                    <w:rPr>
                      <w:rFonts w:ascii="Times New Roman" w:eastAsia="Times New Roman" w:hAnsi="Times New Roman"/>
                      <w:b/>
                      <w:sz w:val="20"/>
                      <w:szCs w:val="20"/>
                      <w:lang w:eastAsia="bg-BG"/>
                    </w:rPr>
                    <w:lastRenderedPageBreak/>
                    <w:t>„Брой включени в проектите лица на възраст над 54 години и/или хора с увреждания“</w:t>
                  </w:r>
                </w:p>
                <w:p w14:paraId="102AADE3" w14:textId="77777777" w:rsidR="005131E2" w:rsidRDefault="005131E2" w:rsidP="00C42AAD">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c>
                <w:tcPr>
                  <w:tcW w:w="1463" w:type="dxa"/>
                </w:tcPr>
                <w:p w14:paraId="505DA7F1" w14:textId="77777777" w:rsidR="005131E2"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p>
              </w:tc>
              <w:tc>
                <w:tcPr>
                  <w:tcW w:w="1456" w:type="dxa"/>
                </w:tcPr>
                <w:p w14:paraId="3400B785" w14:textId="77777777" w:rsidR="005131E2" w:rsidRPr="008F724D"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18</w:t>
                  </w:r>
                </w:p>
              </w:tc>
              <w:tc>
                <w:tcPr>
                  <w:tcW w:w="1517" w:type="dxa"/>
                </w:tcPr>
                <w:p w14:paraId="1A8D4388" w14:textId="77777777" w:rsidR="005131E2" w:rsidRPr="006466EF"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c>
                <w:tcPr>
                  <w:tcW w:w="1447" w:type="dxa"/>
                </w:tcPr>
                <w:p w14:paraId="3864868F" w14:textId="77777777" w:rsidR="005131E2"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c>
                <w:tcPr>
                  <w:tcW w:w="1457" w:type="dxa"/>
                </w:tcPr>
                <w:p w14:paraId="038AE0BD" w14:textId="77777777" w:rsidR="005131E2" w:rsidRPr="008F724D" w:rsidRDefault="005131E2" w:rsidP="00FC6662">
                  <w:pPr>
                    <w:pStyle w:val="ListParagraph"/>
                    <w:spacing w:before="120" w:after="120" w:line="240" w:lineRule="auto"/>
                    <w:ind w:left="0"/>
                    <w:contextualSpacing w:val="0"/>
                    <w:jc w:val="both"/>
                    <w:rPr>
                      <w:rFonts w:ascii="Times New Roman" w:eastAsia="Times New Roman" w:hAnsi="Times New Roman"/>
                      <w:b/>
                      <w:sz w:val="20"/>
                      <w:szCs w:val="20"/>
                      <w:lang w:eastAsia="bg-BG"/>
                    </w:rPr>
                  </w:pPr>
                </w:p>
              </w:tc>
            </w:tr>
          </w:tbl>
          <w:p w14:paraId="7DD16F32" w14:textId="77777777" w:rsidR="0043229B" w:rsidRDefault="0043229B" w:rsidP="008F724D">
            <w:pPr>
              <w:pStyle w:val="ListParagraph"/>
              <w:spacing w:before="120" w:after="120" w:line="240" w:lineRule="auto"/>
              <w:ind w:left="0"/>
              <w:contextualSpacing w:val="0"/>
              <w:jc w:val="both"/>
              <w:rPr>
                <w:rFonts w:ascii="Times New Roman" w:eastAsia="Times New Roman" w:hAnsi="Times New Roman"/>
                <w:b/>
                <w:sz w:val="24"/>
                <w:szCs w:val="24"/>
                <w:lang w:eastAsia="bg-BG"/>
              </w:rPr>
            </w:pPr>
          </w:p>
          <w:p w14:paraId="66A3CF92" w14:textId="77777777" w:rsidR="007F09C3" w:rsidRDefault="007F09C3" w:rsidP="007F09C3">
            <w:pPr>
              <w:pStyle w:val="Text1"/>
              <w:spacing w:before="120" w:after="120"/>
              <w:ind w:left="0"/>
              <w:outlineLvl w:val="0"/>
              <w:rPr>
                <w:szCs w:val="24"/>
                <w:lang w:val="bg-BG" w:eastAsia="bg-BG"/>
              </w:rPr>
            </w:pPr>
            <w:r w:rsidRPr="00210955">
              <w:rPr>
                <w:b/>
                <w:szCs w:val="24"/>
                <w:lang w:val="bg-BG" w:eastAsia="bg-BG"/>
              </w:rPr>
              <w:t>Всеки кандидат трябва да включи в секция 8 във Формуляра за кандидатстване</w:t>
            </w:r>
            <w:r w:rsidRPr="008F724D" w:rsidDel="007661BC">
              <w:rPr>
                <w:b/>
                <w:szCs w:val="24"/>
                <w:lang w:val="bg-BG" w:eastAsia="bg-BG"/>
              </w:rPr>
              <w:t xml:space="preserve"> </w:t>
            </w:r>
            <w:r w:rsidRPr="008F724D">
              <w:rPr>
                <w:szCs w:val="24"/>
                <w:lang w:val="bg-BG" w:eastAsia="bg-BG"/>
              </w:rPr>
              <w:t xml:space="preserve"> </w:t>
            </w:r>
            <w:r w:rsidRPr="008F724D">
              <w:rPr>
                <w:b/>
                <w:szCs w:val="24"/>
                <w:u w:val="single"/>
                <w:lang w:val="bg-BG" w:eastAsia="bg-BG"/>
              </w:rPr>
              <w:t>индикаторите</w:t>
            </w:r>
            <w:r w:rsidR="003A5BF2">
              <w:rPr>
                <w:b/>
                <w:szCs w:val="24"/>
                <w:u w:val="single"/>
                <w:lang w:val="bg-BG" w:eastAsia="bg-BG"/>
              </w:rPr>
              <w:t xml:space="preserve"> за изпълнение и съответстващите им за резултат</w:t>
            </w:r>
            <w:r w:rsidRPr="008F724D">
              <w:rPr>
                <w:szCs w:val="24"/>
                <w:lang w:val="bg-BG" w:eastAsia="bg-BG"/>
              </w:rPr>
              <w:t xml:space="preserve">, които ще постигне с изпълнението на конкретния проект. </w:t>
            </w:r>
          </w:p>
          <w:p w14:paraId="355EEEEE" w14:textId="77777777" w:rsidR="007F09C3" w:rsidRPr="009107C6" w:rsidRDefault="007F09C3" w:rsidP="007F09C3">
            <w:pPr>
              <w:pStyle w:val="Text1"/>
              <w:spacing w:before="120" w:after="120"/>
              <w:ind w:left="0"/>
              <w:outlineLvl w:val="0"/>
              <w:rPr>
                <w:szCs w:val="24"/>
                <w:lang w:val="bg-BG" w:eastAsia="bg-BG"/>
              </w:rPr>
            </w:pPr>
            <w:r w:rsidRPr="009107C6">
              <w:rPr>
                <w:szCs w:val="24"/>
                <w:lang w:val="bg-BG" w:eastAsia="bg-BG"/>
              </w:rPr>
              <w:t>Всеки индикатор, включен в проектното предложение, трябва да бъде количествено определен с положителна стойност, различна от „0“.</w:t>
            </w:r>
            <w:r>
              <w:rPr>
                <w:szCs w:val="24"/>
                <w:lang w:val="bg-BG" w:eastAsia="bg-BG"/>
              </w:rPr>
              <w:t xml:space="preserve"> Заложеното количество трябва да съответства на включените в проекта дейности и кореспондиращите им разходи.</w:t>
            </w:r>
          </w:p>
          <w:p w14:paraId="1600E09A" w14:textId="77777777" w:rsidR="007F09C3" w:rsidRDefault="007F09C3" w:rsidP="007F09C3">
            <w:pPr>
              <w:pStyle w:val="Default"/>
              <w:jc w:val="both"/>
              <w:rPr>
                <w:b/>
                <w:bCs/>
                <w:sz w:val="23"/>
                <w:szCs w:val="23"/>
              </w:rPr>
            </w:pPr>
            <w:r>
              <w:rPr>
                <w:b/>
                <w:bCs/>
                <w:sz w:val="23"/>
                <w:szCs w:val="23"/>
              </w:rPr>
              <w:t xml:space="preserve">В случай че във Формуляра за кандидатстване не са включени приложимите 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 </w:t>
            </w:r>
          </w:p>
          <w:p w14:paraId="3AB53A01" w14:textId="77777777" w:rsidR="007F09C3" w:rsidRDefault="007F09C3" w:rsidP="008F724D">
            <w:pPr>
              <w:pStyle w:val="ListParagraph"/>
              <w:spacing w:before="120" w:after="120" w:line="240" w:lineRule="auto"/>
              <w:ind w:left="0"/>
              <w:contextualSpacing w:val="0"/>
              <w:jc w:val="both"/>
              <w:rPr>
                <w:rFonts w:ascii="Times New Roman" w:eastAsia="Times New Roman" w:hAnsi="Times New Roman"/>
                <w:b/>
                <w:sz w:val="24"/>
                <w:szCs w:val="24"/>
                <w:lang w:eastAsia="bg-BG"/>
              </w:rPr>
            </w:pPr>
          </w:p>
          <w:p w14:paraId="557F0BD5" w14:textId="77777777" w:rsidR="00F340FB" w:rsidRDefault="00272336" w:rsidP="008F724D">
            <w:pPr>
              <w:pStyle w:val="Text1"/>
              <w:spacing w:after="0"/>
              <w:ind w:left="0"/>
              <w:outlineLvl w:val="0"/>
              <w:rPr>
                <w:b/>
                <w:szCs w:val="24"/>
                <w:lang w:val="bg-BG" w:eastAsia="bg-BG"/>
              </w:rPr>
            </w:pPr>
            <w:r w:rsidRPr="003A5BF2">
              <w:rPr>
                <w:b/>
                <w:szCs w:val="24"/>
                <w:lang w:val="bg-BG" w:eastAsia="bg-BG"/>
              </w:rPr>
              <w:t>В</w:t>
            </w:r>
            <w:r w:rsidR="00F340FB" w:rsidRPr="003A5BF2">
              <w:rPr>
                <w:b/>
                <w:szCs w:val="24"/>
                <w:lang w:val="bg-BG" w:eastAsia="bg-BG"/>
              </w:rPr>
              <w:t>ъв връзка с описанието и реализирането на посочените по</w:t>
            </w:r>
            <w:r w:rsidR="00172934">
              <w:rPr>
                <w:b/>
                <w:szCs w:val="24"/>
                <w:lang w:val="bg-BG" w:eastAsia="bg-BG"/>
              </w:rPr>
              <w:t>-</w:t>
            </w:r>
            <w:r w:rsidR="00F340FB" w:rsidRPr="003A5BF2">
              <w:rPr>
                <w:b/>
                <w:szCs w:val="24"/>
                <w:lang w:val="bg-BG" w:eastAsia="bg-BG"/>
              </w:rPr>
              <w:t xml:space="preserve"> горе – индикатори за резултат, моля да вземете предвид следната информация:</w:t>
            </w:r>
          </w:p>
          <w:p w14:paraId="05F5D18F" w14:textId="77777777" w:rsidR="003A5BF2" w:rsidRPr="003A5BF2" w:rsidRDefault="003A5BF2" w:rsidP="008F724D">
            <w:pPr>
              <w:pStyle w:val="Text1"/>
              <w:spacing w:after="0"/>
              <w:ind w:left="0"/>
              <w:outlineLvl w:val="0"/>
              <w:rPr>
                <w:b/>
                <w:szCs w:val="24"/>
                <w:lang w:val="bg-BG" w:eastAsia="bg-BG"/>
              </w:rPr>
            </w:pPr>
          </w:p>
          <w:p w14:paraId="427512FF" w14:textId="77777777" w:rsidR="00F340FB" w:rsidRDefault="00F340FB" w:rsidP="00D94155">
            <w:pPr>
              <w:pStyle w:val="Text1"/>
              <w:spacing w:after="0"/>
              <w:ind w:left="720"/>
              <w:outlineLvl w:val="0"/>
              <w:rPr>
                <w:szCs w:val="24"/>
                <w:lang w:val="bg-BG" w:eastAsia="bg-BG"/>
              </w:rPr>
            </w:pPr>
            <w:r w:rsidRPr="00F340FB">
              <w:rPr>
                <w:b/>
                <w:szCs w:val="24"/>
                <w:lang w:val="bg-BG" w:eastAsia="bg-BG"/>
              </w:rPr>
              <w:t>Задължително следва да вкл</w:t>
            </w:r>
            <w:r w:rsidR="00D94155">
              <w:rPr>
                <w:b/>
                <w:szCs w:val="24"/>
                <w:lang w:val="bg-BG" w:eastAsia="bg-BG"/>
              </w:rPr>
              <w:t>ючите в проектното си предложен</w:t>
            </w:r>
            <w:r w:rsidRPr="00F340FB">
              <w:rPr>
                <w:b/>
                <w:szCs w:val="24"/>
                <w:lang w:val="bg-BG" w:eastAsia="bg-BG"/>
              </w:rPr>
              <w:t xml:space="preserve">ие индикатора „предприятия, въвели нови процеси за безопасни и здравословни условия на </w:t>
            </w:r>
            <w:r w:rsidRPr="003A5BF2">
              <w:rPr>
                <w:b/>
                <w:szCs w:val="24"/>
                <w:lang w:val="bg-BG" w:eastAsia="bg-BG"/>
              </w:rPr>
              <w:t>труд“</w:t>
            </w:r>
            <w:r>
              <w:rPr>
                <w:szCs w:val="24"/>
                <w:lang w:val="bg-BG" w:eastAsia="bg-BG"/>
              </w:rPr>
              <w:t>, ако в проектното си предложение сте включили дейности в някои от следните направления:</w:t>
            </w:r>
          </w:p>
          <w:p w14:paraId="20669562" w14:textId="77777777" w:rsidR="00F340FB" w:rsidRDefault="00F340FB" w:rsidP="00F340FB">
            <w:pPr>
              <w:pStyle w:val="Text1"/>
              <w:numPr>
                <w:ilvl w:val="0"/>
                <w:numId w:val="39"/>
              </w:numPr>
              <w:spacing w:after="0"/>
              <w:outlineLvl w:val="0"/>
              <w:rPr>
                <w:szCs w:val="24"/>
                <w:lang w:val="bg-BG" w:eastAsia="bg-BG"/>
              </w:rPr>
            </w:pPr>
            <w:r>
              <w:rPr>
                <w:szCs w:val="24"/>
                <w:lang w:val="bg-BG" w:eastAsia="bg-BG"/>
              </w:rPr>
              <w:t>Осигуряване на средства за колективна защита, включително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w:t>
            </w:r>
          </w:p>
          <w:p w14:paraId="1A7D94CA" w14:textId="77777777" w:rsidR="00F340FB" w:rsidRDefault="00F340FB" w:rsidP="00F340FB">
            <w:pPr>
              <w:pStyle w:val="Text1"/>
              <w:numPr>
                <w:ilvl w:val="0"/>
                <w:numId w:val="39"/>
              </w:numPr>
              <w:spacing w:after="0"/>
              <w:outlineLvl w:val="0"/>
              <w:rPr>
                <w:szCs w:val="24"/>
                <w:lang w:val="bg-BG" w:eastAsia="bg-BG"/>
              </w:rPr>
            </w:pPr>
            <w:r>
              <w:rPr>
                <w:szCs w:val="24"/>
                <w:lang w:val="bg-BG" w:eastAsia="bg-BG"/>
              </w:rPr>
              <w:t>Закупуване на ЛПС и/или специално работно облекло;</w:t>
            </w:r>
          </w:p>
          <w:p w14:paraId="5EC1C819" w14:textId="77777777" w:rsidR="00F340FB" w:rsidRDefault="00F46069" w:rsidP="00F340FB">
            <w:pPr>
              <w:pStyle w:val="Text1"/>
              <w:numPr>
                <w:ilvl w:val="0"/>
                <w:numId w:val="39"/>
              </w:numPr>
              <w:spacing w:after="0"/>
              <w:outlineLvl w:val="0"/>
              <w:rPr>
                <w:szCs w:val="24"/>
                <w:lang w:val="bg-BG" w:eastAsia="bg-BG"/>
              </w:rPr>
            </w:pPr>
            <w:r>
              <w:rPr>
                <w:szCs w:val="24"/>
                <w:lang w:val="bg-BG" w:eastAsia="bg-BG"/>
              </w:rPr>
              <w:t>Придобиване на стандарти за безопасни условия на труд;</w:t>
            </w:r>
          </w:p>
          <w:p w14:paraId="4B264232" w14:textId="77777777" w:rsidR="00F46069" w:rsidRDefault="008033D2" w:rsidP="00F340FB">
            <w:pPr>
              <w:pStyle w:val="Text1"/>
              <w:numPr>
                <w:ilvl w:val="0"/>
                <w:numId w:val="39"/>
              </w:numPr>
              <w:spacing w:after="0"/>
              <w:outlineLvl w:val="0"/>
              <w:rPr>
                <w:szCs w:val="24"/>
                <w:lang w:val="bg-BG" w:eastAsia="bg-BG"/>
              </w:rPr>
            </w:pPr>
            <w:r>
              <w:rPr>
                <w:szCs w:val="24"/>
                <w:lang w:val="bg-BG" w:eastAsia="bg-BG"/>
              </w:rPr>
              <w:t>Обучение на работниците и служители относно специфичните рискове за здравето, свързани с индивидуалното работно място и методите и средствата за тяхното ограничаване и предотвратяване;</w:t>
            </w:r>
          </w:p>
          <w:p w14:paraId="15C64D36" w14:textId="77777777" w:rsidR="008033D2" w:rsidRDefault="008033D2" w:rsidP="00F340FB">
            <w:pPr>
              <w:pStyle w:val="Text1"/>
              <w:numPr>
                <w:ilvl w:val="0"/>
                <w:numId w:val="39"/>
              </w:numPr>
              <w:spacing w:after="0"/>
              <w:outlineLvl w:val="0"/>
              <w:rPr>
                <w:szCs w:val="24"/>
                <w:lang w:val="bg-BG" w:eastAsia="bg-BG"/>
              </w:rPr>
            </w:pPr>
            <w:r>
              <w:rPr>
                <w:szCs w:val="24"/>
                <w:lang w:val="bg-BG" w:eastAsia="bg-BG"/>
              </w:rPr>
              <w:t>Обучение на служители и работници за безопасна работа с нововъдено работно оборудване и технологии, в случай че не е осигулено такова от доставчика;</w:t>
            </w:r>
          </w:p>
          <w:p w14:paraId="738CCA4F" w14:textId="77777777" w:rsidR="008033D2" w:rsidRDefault="008033D2" w:rsidP="00F340FB">
            <w:pPr>
              <w:pStyle w:val="Text1"/>
              <w:numPr>
                <w:ilvl w:val="0"/>
                <w:numId w:val="39"/>
              </w:numPr>
              <w:spacing w:after="0"/>
              <w:outlineLvl w:val="0"/>
              <w:rPr>
                <w:szCs w:val="24"/>
                <w:lang w:val="bg-BG" w:eastAsia="bg-BG"/>
              </w:rPr>
            </w:pPr>
            <w:r>
              <w:rPr>
                <w:szCs w:val="24"/>
                <w:lang w:val="bg-BG" w:eastAsia="bg-BG"/>
              </w:rPr>
              <w:t>Подобряване на организацията на работния процес във връзка с безопасни и здравословни условия на труд.</w:t>
            </w:r>
          </w:p>
          <w:p w14:paraId="7B3A33A7" w14:textId="77777777" w:rsidR="006D7EE1" w:rsidRDefault="006D7EE1" w:rsidP="006D7EE1">
            <w:pPr>
              <w:pStyle w:val="Text1"/>
              <w:spacing w:after="0"/>
              <w:ind w:left="720"/>
              <w:outlineLvl w:val="0"/>
              <w:rPr>
                <w:szCs w:val="24"/>
                <w:lang w:val="bg-BG" w:eastAsia="bg-BG"/>
              </w:rPr>
            </w:pPr>
          </w:p>
          <w:p w14:paraId="02DC90B9" w14:textId="77777777" w:rsidR="008033D2" w:rsidRDefault="008033D2" w:rsidP="00D94155">
            <w:pPr>
              <w:pStyle w:val="Text1"/>
              <w:spacing w:after="0"/>
              <w:ind w:left="720"/>
              <w:outlineLvl w:val="0"/>
              <w:rPr>
                <w:szCs w:val="24"/>
                <w:lang w:val="bg-BG" w:eastAsia="bg-BG"/>
              </w:rPr>
            </w:pPr>
            <w:r w:rsidRPr="006D7EE1">
              <w:rPr>
                <w:b/>
                <w:szCs w:val="24"/>
                <w:lang w:val="bg-BG" w:eastAsia="bg-BG"/>
              </w:rPr>
              <w:t>Задължително следва да включите в проектното си предложение индикатора „предприятия, въвели нови системи, практики и инструменти за развитие  на човешките ресурси и организация на труда“</w:t>
            </w:r>
            <w:r>
              <w:rPr>
                <w:szCs w:val="24"/>
                <w:lang w:val="bg-BG" w:eastAsia="bg-BG"/>
              </w:rPr>
              <w:t xml:space="preserve"> ако в проектното си предложение сте включили дейности от следните направления: </w:t>
            </w:r>
          </w:p>
          <w:p w14:paraId="62A8B0D8"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Въвеждане на гъвкави форми на заетост;</w:t>
            </w:r>
          </w:p>
          <w:p w14:paraId="7C952BAE"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Организиране на работното време и работния процес;</w:t>
            </w:r>
          </w:p>
          <w:p w14:paraId="01B9A18F"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lastRenderedPageBreak/>
              <w:t>Осигуряване на организиран транспорт от и до работното място;</w:t>
            </w:r>
          </w:p>
          <w:p w14:paraId="49779B6D"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Осигуряване на социа</w:t>
            </w:r>
            <w:r w:rsidR="00FB4149">
              <w:rPr>
                <w:szCs w:val="24"/>
                <w:lang w:val="bg-BG" w:eastAsia="bg-BG"/>
              </w:rPr>
              <w:t>л</w:t>
            </w:r>
            <w:r>
              <w:rPr>
                <w:szCs w:val="24"/>
                <w:lang w:val="bg-BG" w:eastAsia="bg-BG"/>
              </w:rPr>
              <w:t>ни придобивки за работници и служители, включително ремонт и оборудване на места за отдих, хранене и почивка в предприятията, спортни съоръжения и др.;</w:t>
            </w:r>
          </w:p>
          <w:p w14:paraId="0C929273"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Разработване, адаптиране и въвеждане на системи за управление и развитие на човешките ресурси в предприятията;</w:t>
            </w:r>
          </w:p>
          <w:p w14:paraId="6E08F4D4"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Мерки за подобряване управлението на човешките ресурси в предприятието;</w:t>
            </w:r>
          </w:p>
          <w:p w14:paraId="68A56BEA"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Практики за насърчаване професионалната и географската мобилност;</w:t>
            </w:r>
          </w:p>
          <w:p w14:paraId="2D29D670" w14:textId="77777777" w:rsidR="00564375" w:rsidRPr="00F340FB" w:rsidRDefault="00564375" w:rsidP="00564375">
            <w:pPr>
              <w:pStyle w:val="Text1"/>
              <w:numPr>
                <w:ilvl w:val="0"/>
                <w:numId w:val="40"/>
              </w:numPr>
              <w:spacing w:after="0"/>
              <w:outlineLvl w:val="0"/>
              <w:rPr>
                <w:szCs w:val="24"/>
                <w:lang w:val="bg-BG" w:eastAsia="bg-BG"/>
              </w:rPr>
            </w:pPr>
            <w:r>
              <w:rPr>
                <w:szCs w:val="24"/>
                <w:lang w:val="bg-BG" w:eastAsia="bg-BG"/>
              </w:rPr>
              <w:t>Практики за въвеждане на корпоративна социална отговорност.</w:t>
            </w:r>
          </w:p>
          <w:p w14:paraId="391445C7" w14:textId="77777777" w:rsidR="00F340FB" w:rsidRDefault="00F340FB" w:rsidP="008F724D">
            <w:pPr>
              <w:pStyle w:val="Text1"/>
              <w:spacing w:after="0"/>
              <w:ind w:left="0"/>
              <w:outlineLvl w:val="0"/>
              <w:rPr>
                <w:i/>
                <w:szCs w:val="24"/>
                <w:lang w:val="bg-BG" w:eastAsia="bg-BG"/>
              </w:rPr>
            </w:pPr>
          </w:p>
          <w:p w14:paraId="2AE1172F" w14:textId="77777777" w:rsidR="0069428F" w:rsidRPr="008F47B0" w:rsidRDefault="0069428F" w:rsidP="00390DF0">
            <w:pPr>
              <w:pStyle w:val="Default"/>
              <w:jc w:val="both"/>
              <w:rPr>
                <w:b/>
                <w:lang w:val="ru-RU"/>
              </w:rPr>
            </w:pPr>
          </w:p>
        </w:tc>
      </w:tr>
    </w:tbl>
    <w:p w14:paraId="63712E49" w14:textId="77777777" w:rsidR="00F26975" w:rsidRPr="007713C1" w:rsidRDefault="00A8656C" w:rsidP="007570DC">
      <w:pPr>
        <w:pStyle w:val="Heading1"/>
      </w:pPr>
      <w:bookmarkStart w:id="11" w:name="_Toc445385573"/>
      <w:r w:rsidRPr="007713C1">
        <w:lastRenderedPageBreak/>
        <w:t>8. Общ размер на безвъзмездната финансова помощ по процедурата:</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697"/>
        <w:gridCol w:w="3434"/>
      </w:tblGrid>
      <w:tr w:rsidR="00A8656C" w:rsidRPr="008F724D" w14:paraId="73AFEB80" w14:textId="77777777" w:rsidTr="0043265A">
        <w:trPr>
          <w:trHeight w:val="386"/>
        </w:trPr>
        <w:tc>
          <w:tcPr>
            <w:tcW w:w="9496" w:type="dxa"/>
            <w:gridSpan w:val="3"/>
          </w:tcPr>
          <w:p w14:paraId="08099BF0" w14:textId="77777777" w:rsidR="00B64A38" w:rsidRPr="008F724D" w:rsidRDefault="00B64A38" w:rsidP="008F724D">
            <w:pPr>
              <w:pStyle w:val="Default"/>
              <w:spacing w:after="240"/>
              <w:jc w:val="both"/>
              <w:rPr>
                <w:i/>
              </w:rPr>
            </w:pPr>
          </w:p>
        </w:tc>
      </w:tr>
      <w:tr w:rsidR="003D18FC" w:rsidRPr="008F724D" w14:paraId="487D8406" w14:textId="77777777" w:rsidTr="005131E2">
        <w:trPr>
          <w:trHeight w:val="1126"/>
        </w:trPr>
        <w:tc>
          <w:tcPr>
            <w:tcW w:w="3365" w:type="dxa"/>
          </w:tcPr>
          <w:p w14:paraId="3EEA78DF" w14:textId="77777777" w:rsidR="003D18FC" w:rsidRPr="008F724D" w:rsidRDefault="003D18FC" w:rsidP="008F724D">
            <w:pPr>
              <w:spacing w:after="0" w:line="320" w:lineRule="atLeast"/>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Общ размер на безвъзмездната финансова помощ</w:t>
            </w:r>
          </w:p>
        </w:tc>
        <w:tc>
          <w:tcPr>
            <w:tcW w:w="2697" w:type="dxa"/>
          </w:tcPr>
          <w:p w14:paraId="442BE817" w14:textId="77777777" w:rsidR="00BC5595" w:rsidRPr="008F724D" w:rsidRDefault="003D18FC" w:rsidP="008F724D">
            <w:pPr>
              <w:spacing w:after="0" w:line="320" w:lineRule="atLeast"/>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Средства от ЕСФ</w:t>
            </w:r>
          </w:p>
          <w:p w14:paraId="63739577" w14:textId="77777777" w:rsidR="003D18FC" w:rsidRPr="008F724D" w:rsidRDefault="003D18FC" w:rsidP="008F724D">
            <w:pPr>
              <w:spacing w:after="0" w:line="320" w:lineRule="atLeast"/>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(сума/процент)</w:t>
            </w:r>
          </w:p>
        </w:tc>
        <w:tc>
          <w:tcPr>
            <w:tcW w:w="3434" w:type="dxa"/>
          </w:tcPr>
          <w:p w14:paraId="6439F1A3" w14:textId="77777777" w:rsidR="003D18FC" w:rsidRPr="008F724D" w:rsidRDefault="003D18FC" w:rsidP="008F724D">
            <w:pPr>
              <w:spacing w:after="0" w:line="320" w:lineRule="atLeast"/>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Национално съфинансиране</w:t>
            </w:r>
          </w:p>
          <w:p w14:paraId="1DF7DA46" w14:textId="77777777" w:rsidR="003D18FC" w:rsidRPr="008F724D" w:rsidRDefault="003D18FC" w:rsidP="008F724D">
            <w:pPr>
              <w:spacing w:after="0" w:line="320" w:lineRule="atLeast"/>
              <w:rPr>
                <w:rFonts w:ascii="Times New Roman" w:eastAsia="Times New Roman" w:hAnsi="Times New Roman"/>
                <w:sz w:val="20"/>
                <w:szCs w:val="20"/>
                <w:lang w:eastAsia="bg-BG"/>
              </w:rPr>
            </w:pPr>
            <w:r w:rsidRPr="008F724D">
              <w:rPr>
                <w:rFonts w:ascii="Times New Roman" w:eastAsia="Times New Roman" w:hAnsi="Times New Roman"/>
                <w:b/>
                <w:sz w:val="24"/>
                <w:szCs w:val="24"/>
                <w:lang w:eastAsia="bg-BG"/>
              </w:rPr>
              <w:t>(сума/процент)</w:t>
            </w:r>
          </w:p>
        </w:tc>
      </w:tr>
      <w:tr w:rsidR="003D18FC" w:rsidRPr="008F724D" w14:paraId="32CF7273" w14:textId="77777777">
        <w:trPr>
          <w:trHeight w:val="539"/>
        </w:trPr>
        <w:tc>
          <w:tcPr>
            <w:tcW w:w="3365" w:type="dxa"/>
            <w:vAlign w:val="center"/>
          </w:tcPr>
          <w:p w14:paraId="123EB6CB" w14:textId="77777777" w:rsidR="003D18FC" w:rsidRDefault="00056C55" w:rsidP="0034179E">
            <w:pPr>
              <w:pStyle w:val="Default"/>
            </w:pPr>
            <w:r>
              <w:t xml:space="preserve"> Общо </w:t>
            </w:r>
            <w:r w:rsidR="005131E2">
              <w:t>79 261,46 лв.</w:t>
            </w:r>
          </w:p>
          <w:p w14:paraId="0AF750B5" w14:textId="77777777" w:rsidR="00B409B0" w:rsidRPr="00B409B0" w:rsidRDefault="00B409B0" w:rsidP="0034179E">
            <w:pPr>
              <w:pStyle w:val="Default"/>
              <w:rPr>
                <w:i/>
                <w:lang w:val="en-US"/>
              </w:rPr>
            </w:pPr>
            <w:r>
              <w:rPr>
                <w:lang w:val="en-US"/>
              </w:rPr>
              <w:t>(100%)</w:t>
            </w:r>
          </w:p>
        </w:tc>
        <w:tc>
          <w:tcPr>
            <w:tcW w:w="2697" w:type="dxa"/>
            <w:vAlign w:val="center"/>
          </w:tcPr>
          <w:p w14:paraId="4CDFE3C1" w14:textId="77777777" w:rsidR="009D2B32" w:rsidRDefault="005131E2" w:rsidP="00FD78FC">
            <w:pPr>
              <w:pStyle w:val="Default"/>
            </w:pPr>
            <w:r>
              <w:t>67</w:t>
            </w:r>
            <w:r w:rsidR="003A5BF2">
              <w:t xml:space="preserve"> </w:t>
            </w:r>
            <w:r>
              <w:t>372,24 лв.</w:t>
            </w:r>
          </w:p>
          <w:p w14:paraId="44313F33" w14:textId="77777777" w:rsidR="003D18FC" w:rsidRPr="008F724D" w:rsidRDefault="003D18FC" w:rsidP="00FD78FC">
            <w:pPr>
              <w:pStyle w:val="Default"/>
              <w:rPr>
                <w:i/>
              </w:rPr>
            </w:pPr>
            <w:r w:rsidRPr="007713C1">
              <w:t>(85%)</w:t>
            </w:r>
          </w:p>
        </w:tc>
        <w:tc>
          <w:tcPr>
            <w:tcW w:w="3434" w:type="dxa"/>
            <w:vAlign w:val="center"/>
          </w:tcPr>
          <w:p w14:paraId="30526A6F" w14:textId="77777777" w:rsidR="009D2B32" w:rsidRDefault="005131E2" w:rsidP="00FD78FC">
            <w:pPr>
              <w:pStyle w:val="Default"/>
            </w:pPr>
            <w:r>
              <w:t>11</w:t>
            </w:r>
            <w:r w:rsidR="003A5BF2">
              <w:t xml:space="preserve"> </w:t>
            </w:r>
            <w:r>
              <w:t>889,22</w:t>
            </w:r>
            <w:r w:rsidR="003A5BF2">
              <w:t xml:space="preserve"> лв.</w:t>
            </w:r>
          </w:p>
          <w:p w14:paraId="64C9F52C" w14:textId="77777777" w:rsidR="003D18FC" w:rsidRPr="008F724D" w:rsidRDefault="003D18FC" w:rsidP="00FD78FC">
            <w:pPr>
              <w:pStyle w:val="Default"/>
              <w:rPr>
                <w:i/>
              </w:rPr>
            </w:pPr>
            <w:r w:rsidRPr="007713C1">
              <w:t>(15%)</w:t>
            </w:r>
          </w:p>
        </w:tc>
      </w:tr>
      <w:tr w:rsidR="00A8656C" w:rsidRPr="008F724D" w14:paraId="5D5AC0B5" w14:textId="77777777">
        <w:trPr>
          <w:trHeight w:val="697"/>
        </w:trPr>
        <w:tc>
          <w:tcPr>
            <w:tcW w:w="9496" w:type="dxa"/>
            <w:gridSpan w:val="3"/>
          </w:tcPr>
          <w:p w14:paraId="5B667AF8" w14:textId="77777777" w:rsidR="00A8656C" w:rsidRPr="008F724D" w:rsidRDefault="00A8656C" w:rsidP="008F724D">
            <w:pPr>
              <w:pStyle w:val="Default"/>
              <w:jc w:val="both"/>
              <w:rPr>
                <w:i/>
              </w:rPr>
            </w:pPr>
          </w:p>
          <w:p w14:paraId="05886A18" w14:textId="77777777" w:rsidR="00A8656C" w:rsidRPr="007713C1" w:rsidRDefault="00A8656C" w:rsidP="00D94155">
            <w:pPr>
              <w:pStyle w:val="Default"/>
              <w:jc w:val="both"/>
            </w:pPr>
            <w:r w:rsidRPr="007713C1">
              <w:t>Това е общият размер на бюджета по тази процедура за предоставяне н</w:t>
            </w:r>
            <w:r w:rsidR="00632731" w:rsidRPr="007713C1">
              <w:t>а безвъзмездна финансова помощ.</w:t>
            </w:r>
            <w:r w:rsidRPr="007713C1">
              <w:t xml:space="preserve"> </w:t>
            </w:r>
            <w:r w:rsidR="00D94155" w:rsidRPr="0063757D">
              <w:rPr>
                <w:color w:val="auto"/>
              </w:rPr>
              <w:t>МИГ</w:t>
            </w:r>
            <w:r w:rsidR="00D94155" w:rsidRPr="00727FB7">
              <w:rPr>
                <w:color w:val="FF0000"/>
              </w:rPr>
              <w:t xml:space="preserve"> </w:t>
            </w:r>
            <w:r w:rsidR="00535FFB">
              <w:t>има</w:t>
            </w:r>
            <w:r w:rsidRPr="007713C1">
              <w:t xml:space="preserve">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14:paraId="7D9FBD1C" w14:textId="77777777" w:rsidR="00A8656C" w:rsidRPr="007713C1" w:rsidRDefault="00404799" w:rsidP="007570DC">
      <w:pPr>
        <w:pStyle w:val="Heading1"/>
      </w:pPr>
      <w:bookmarkStart w:id="12" w:name="_Toc445385574"/>
      <w:r w:rsidRPr="007713C1">
        <w:t>9. Минимален (ако е приложимо) и максимален размер на безвъзмездната финансова помощ за конкретен проект:</w:t>
      </w:r>
      <w:bookmarkEnd w:id="12"/>
    </w:p>
    <w:p w14:paraId="7426E7CF" w14:textId="77777777" w:rsidR="00BA2E00" w:rsidRPr="007713C1" w:rsidRDefault="00404799" w:rsidP="0040479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7713C1">
        <w:rPr>
          <w:rFonts w:ascii="Times New Roman" w:hAnsi="Times New Roman"/>
          <w:sz w:val="24"/>
          <w:szCs w:val="24"/>
        </w:rPr>
        <w:t xml:space="preserve">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  </w:t>
      </w:r>
    </w:p>
    <w:p w14:paraId="1397EE28" w14:textId="77777777" w:rsidR="00404799" w:rsidRPr="007713C1" w:rsidRDefault="00404799" w:rsidP="0040479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4698350B" w14:textId="77777777" w:rsidR="00404799" w:rsidRPr="007713C1" w:rsidRDefault="00404799" w:rsidP="00404799">
      <w:pPr>
        <w:pStyle w:val="ListParagraph"/>
        <w:numPr>
          <w:ilvl w:val="0"/>
          <w:numId w:val="6"/>
        </w:numPr>
        <w:pBdr>
          <w:top w:val="single" w:sz="4" w:space="1" w:color="auto"/>
          <w:left w:val="single" w:sz="4" w:space="4" w:color="auto"/>
          <w:bottom w:val="single" w:sz="4" w:space="1" w:color="auto"/>
          <w:right w:val="single" w:sz="4" w:space="4" w:color="auto"/>
        </w:pBdr>
        <w:spacing w:after="360"/>
        <w:rPr>
          <w:rFonts w:ascii="Times New Roman" w:hAnsi="Times New Roman"/>
          <w:b/>
          <w:sz w:val="24"/>
          <w:szCs w:val="24"/>
        </w:rPr>
      </w:pPr>
      <w:r w:rsidRPr="007713C1">
        <w:rPr>
          <w:rFonts w:ascii="Times New Roman" w:hAnsi="Times New Roman"/>
          <w:b/>
          <w:sz w:val="24"/>
          <w:szCs w:val="24"/>
        </w:rPr>
        <w:t xml:space="preserve">Минимален размер на безвъзмездната финансова помощ: </w:t>
      </w:r>
      <w:r w:rsidR="00005897">
        <w:rPr>
          <w:rFonts w:ascii="Times New Roman" w:hAnsi="Times New Roman"/>
          <w:b/>
          <w:sz w:val="24"/>
          <w:szCs w:val="24"/>
        </w:rPr>
        <w:t>4</w:t>
      </w:r>
      <w:r w:rsidR="009D2B32">
        <w:rPr>
          <w:rFonts w:ascii="Times New Roman" w:hAnsi="Times New Roman"/>
          <w:b/>
          <w:sz w:val="24"/>
          <w:szCs w:val="24"/>
        </w:rPr>
        <w:t>0 000</w:t>
      </w:r>
      <w:r w:rsidRPr="007713C1">
        <w:rPr>
          <w:rFonts w:ascii="Times New Roman" w:hAnsi="Times New Roman"/>
          <w:b/>
          <w:sz w:val="24"/>
          <w:szCs w:val="24"/>
        </w:rPr>
        <w:t xml:space="preserve"> лева </w:t>
      </w:r>
    </w:p>
    <w:p w14:paraId="5837CFE5" w14:textId="7485A90D" w:rsidR="009D2B32" w:rsidRDefault="00404799" w:rsidP="0068133F">
      <w:pPr>
        <w:pStyle w:val="ListParagraph"/>
        <w:numPr>
          <w:ilvl w:val="0"/>
          <w:numId w:val="6"/>
        </w:numPr>
        <w:pBdr>
          <w:top w:val="single" w:sz="4" w:space="1" w:color="auto"/>
          <w:left w:val="single" w:sz="4" w:space="4" w:color="auto"/>
          <w:bottom w:val="single" w:sz="4" w:space="1" w:color="auto"/>
          <w:right w:val="single" w:sz="4" w:space="4" w:color="auto"/>
        </w:pBdr>
        <w:spacing w:after="360"/>
        <w:rPr>
          <w:rFonts w:ascii="Times New Roman" w:hAnsi="Times New Roman"/>
          <w:b/>
          <w:sz w:val="24"/>
          <w:szCs w:val="24"/>
        </w:rPr>
      </w:pPr>
      <w:r w:rsidRPr="007713C1">
        <w:rPr>
          <w:rFonts w:ascii="Times New Roman" w:hAnsi="Times New Roman"/>
          <w:b/>
          <w:sz w:val="24"/>
          <w:szCs w:val="24"/>
        </w:rPr>
        <w:t>Максимален размер на безв</w:t>
      </w:r>
      <w:r w:rsidR="009D2B32">
        <w:rPr>
          <w:rFonts w:ascii="Times New Roman" w:hAnsi="Times New Roman"/>
          <w:b/>
          <w:sz w:val="24"/>
          <w:szCs w:val="24"/>
        </w:rPr>
        <w:t xml:space="preserve">ъзмездната финансова помощ: </w:t>
      </w:r>
      <w:r w:rsidR="00A37C11">
        <w:rPr>
          <w:rFonts w:ascii="Times New Roman" w:hAnsi="Times New Roman"/>
          <w:b/>
          <w:sz w:val="24"/>
          <w:szCs w:val="24"/>
        </w:rPr>
        <w:t>79 261,46</w:t>
      </w:r>
      <w:r w:rsidR="009D2B32">
        <w:rPr>
          <w:rFonts w:ascii="Times New Roman" w:hAnsi="Times New Roman"/>
          <w:b/>
          <w:sz w:val="24"/>
          <w:szCs w:val="24"/>
        </w:rPr>
        <w:t xml:space="preserve"> </w:t>
      </w:r>
      <w:r w:rsidRPr="007713C1">
        <w:rPr>
          <w:rFonts w:ascii="Times New Roman" w:hAnsi="Times New Roman"/>
          <w:b/>
          <w:sz w:val="24"/>
          <w:szCs w:val="24"/>
        </w:rPr>
        <w:t xml:space="preserve">лева </w:t>
      </w:r>
    </w:p>
    <w:p w14:paraId="4AF87207" w14:textId="77777777" w:rsidR="00F244A2" w:rsidRDefault="00F244A2"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702F696B" w14:textId="3548F554" w:rsidR="002B0A3D" w:rsidRPr="002B0A3D" w:rsidRDefault="002B0A3D"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2B0A3D">
        <w:rPr>
          <w:rFonts w:ascii="Times New Roman" w:hAnsi="Times New Roman"/>
          <w:b/>
          <w:sz w:val="24"/>
          <w:szCs w:val="24"/>
        </w:rPr>
        <w:t>В минималния и максималния размер на безвъзмездна финансова помощ се включват планираните преки и непреки разходи в бюджета на всяко едно проектно предложение.</w:t>
      </w:r>
    </w:p>
    <w:p w14:paraId="7C173E4A" w14:textId="77777777" w:rsidR="00697B73" w:rsidRDefault="00697B73"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65EC16EB" w14:textId="5D083677" w:rsidR="0094414F" w:rsidRDefault="00A37C11"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A37C11">
        <w:rPr>
          <w:rFonts w:ascii="Times New Roman" w:hAnsi="Times New Roman"/>
          <w:b/>
          <w:sz w:val="24"/>
          <w:szCs w:val="24"/>
        </w:rPr>
        <w:t>За проектни предложения, които се осъществяват изключително чрез възлагане на обществени поръчки за стоки, услуги и строителни дейности, възстановяването на разходите става на база действително направени и платени допустими разходи (Вариант 1 на бюджета, посочен в т. 14.2 и 14.3. от Условията за кандидатстване).</w:t>
      </w:r>
    </w:p>
    <w:p w14:paraId="1F1E6AE5" w14:textId="77777777" w:rsidR="00697B73" w:rsidRDefault="00697B73"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2D3828B0" w14:textId="57D2BEC8" w:rsidR="00A37C11" w:rsidRDefault="00A37C11"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A37C11">
        <w:rPr>
          <w:rFonts w:ascii="Times New Roman" w:hAnsi="Times New Roman"/>
          <w:b/>
          <w:sz w:val="24"/>
          <w:szCs w:val="24"/>
        </w:rPr>
        <w:lastRenderedPageBreak/>
        <w:t>За тези проектни предложения, на етап кандидатстване всеки кандидат следва да планира само преките си разходи (безвъзмездна финансова помощ и съ-финансиране-ако е приложимо), които не могат да бъдат по-малко от</w:t>
      </w:r>
      <w:r>
        <w:rPr>
          <w:rFonts w:ascii="Times New Roman" w:hAnsi="Times New Roman"/>
          <w:b/>
          <w:sz w:val="24"/>
          <w:szCs w:val="24"/>
        </w:rPr>
        <w:t xml:space="preserve"> 36</w:t>
      </w:r>
      <w:r w:rsidR="003A5BF2">
        <w:rPr>
          <w:rFonts w:ascii="Times New Roman" w:hAnsi="Times New Roman"/>
          <w:b/>
          <w:sz w:val="24"/>
          <w:szCs w:val="24"/>
        </w:rPr>
        <w:t xml:space="preserve"> </w:t>
      </w:r>
      <w:r>
        <w:rPr>
          <w:rFonts w:ascii="Times New Roman" w:hAnsi="Times New Roman"/>
          <w:b/>
          <w:sz w:val="24"/>
          <w:szCs w:val="24"/>
        </w:rPr>
        <w:t>363,64 лв.</w:t>
      </w:r>
      <w:r w:rsidRPr="00A37C11">
        <w:rPr>
          <w:rFonts w:ascii="Times New Roman" w:eastAsiaTheme="minorHAnsi" w:hAnsi="Times New Roman"/>
          <w:b/>
          <w:sz w:val="24"/>
          <w:szCs w:val="24"/>
        </w:rPr>
        <w:t xml:space="preserve"> </w:t>
      </w:r>
      <w:r w:rsidRPr="00A37C11">
        <w:rPr>
          <w:rFonts w:ascii="Times New Roman" w:hAnsi="Times New Roman"/>
          <w:b/>
          <w:sz w:val="24"/>
          <w:szCs w:val="24"/>
        </w:rPr>
        <w:t>(БФП) и повече от</w:t>
      </w:r>
      <w:r>
        <w:rPr>
          <w:rFonts w:ascii="Times New Roman" w:hAnsi="Times New Roman"/>
          <w:b/>
          <w:sz w:val="24"/>
          <w:szCs w:val="24"/>
        </w:rPr>
        <w:t xml:space="preserve"> 72 055,87 лв.</w:t>
      </w:r>
      <w:r w:rsidRPr="00A37C11">
        <w:rPr>
          <w:rFonts w:ascii="Times New Roman" w:eastAsiaTheme="minorHAnsi" w:hAnsi="Times New Roman"/>
          <w:b/>
          <w:sz w:val="24"/>
          <w:szCs w:val="24"/>
        </w:rPr>
        <w:t xml:space="preserve"> </w:t>
      </w:r>
      <w:r w:rsidRPr="00A37C11">
        <w:rPr>
          <w:rFonts w:ascii="Times New Roman" w:hAnsi="Times New Roman"/>
          <w:b/>
          <w:sz w:val="24"/>
          <w:szCs w:val="24"/>
        </w:rPr>
        <w:t>(БФП).</w:t>
      </w:r>
    </w:p>
    <w:p w14:paraId="4AEDED66" w14:textId="77777777" w:rsidR="00697B73" w:rsidRDefault="00697B73"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5E7DB051" w14:textId="7BE54876" w:rsidR="002B0A3D" w:rsidRDefault="002B0A3D"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2B0A3D">
        <w:rPr>
          <w:rFonts w:ascii="Times New Roman" w:hAnsi="Times New Roman"/>
          <w:b/>
          <w:sz w:val="24"/>
          <w:szCs w:val="24"/>
        </w:rPr>
        <w:t>Непреките разходи, които се финансират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(1) буква (а) от Регламент 1303/2013 г. ще бъдат служебно заложени от страна на оценителната комисия в бюджета на всяко едно проектно предложение. Тези разходи са в размер на точно 10 % от преките допустими разходи.</w:t>
      </w:r>
    </w:p>
    <w:p w14:paraId="2619CE28" w14:textId="77777777" w:rsidR="00697B73" w:rsidRPr="002B0A3D" w:rsidRDefault="00697B73" w:rsidP="00210955">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16E1FF1A" w14:textId="02430E05" w:rsidR="002B0A3D" w:rsidRPr="0068133F" w:rsidRDefault="002B0A3D" w:rsidP="0094414F">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2B0A3D">
        <w:rPr>
          <w:rFonts w:ascii="Times New Roman" w:hAnsi="Times New Roman"/>
          <w:b/>
          <w:sz w:val="24"/>
          <w:szCs w:val="24"/>
        </w:rPr>
        <w:t>В случай, че кандидатите не желаят да им бъдат служебно начислени непреки разходи в размер на 10 % от преките допустими разходи, то същото следва да бъде декларирано в т. 11.</w:t>
      </w:r>
      <w:r w:rsidR="00615802">
        <w:rPr>
          <w:rFonts w:ascii="Times New Roman" w:hAnsi="Times New Roman"/>
          <w:b/>
          <w:sz w:val="24"/>
          <w:szCs w:val="24"/>
        </w:rPr>
        <w:t>5</w:t>
      </w:r>
      <w:r w:rsidR="00615802" w:rsidRPr="002B0A3D">
        <w:rPr>
          <w:rFonts w:ascii="Times New Roman" w:hAnsi="Times New Roman"/>
          <w:b/>
          <w:sz w:val="24"/>
          <w:szCs w:val="24"/>
        </w:rPr>
        <w:t xml:space="preserve"> </w:t>
      </w:r>
      <w:r w:rsidRPr="002B0A3D">
        <w:rPr>
          <w:rFonts w:ascii="Times New Roman" w:hAnsi="Times New Roman"/>
          <w:b/>
          <w:sz w:val="24"/>
          <w:szCs w:val="24"/>
        </w:rPr>
        <w:t>от Формуляра за кандидатстване. В този случай, кандидатите могат да планират преките си разходи в минимален размер на безвъзме</w:t>
      </w:r>
      <w:r>
        <w:rPr>
          <w:rFonts w:ascii="Times New Roman" w:hAnsi="Times New Roman"/>
          <w:b/>
          <w:sz w:val="24"/>
          <w:szCs w:val="24"/>
        </w:rPr>
        <w:t xml:space="preserve">здна финансова помощ </w:t>
      </w:r>
      <w:r w:rsidRPr="006F3B87">
        <w:rPr>
          <w:rFonts w:ascii="Times New Roman" w:hAnsi="Times New Roman"/>
          <w:b/>
          <w:sz w:val="24"/>
          <w:szCs w:val="24"/>
        </w:rPr>
        <w:t xml:space="preserve">– </w:t>
      </w:r>
      <w:r w:rsidR="00CD4ED9" w:rsidRPr="006F3B87">
        <w:rPr>
          <w:rFonts w:ascii="Times New Roman" w:hAnsi="Times New Roman"/>
          <w:b/>
          <w:sz w:val="24"/>
          <w:szCs w:val="24"/>
        </w:rPr>
        <w:t>40</w:t>
      </w:r>
      <w:r w:rsidR="00697B73">
        <w:rPr>
          <w:rFonts w:ascii="Times New Roman" w:hAnsi="Times New Roman"/>
          <w:b/>
          <w:sz w:val="24"/>
          <w:szCs w:val="24"/>
        </w:rPr>
        <w:t> </w:t>
      </w:r>
      <w:r w:rsidR="00CD4ED9">
        <w:rPr>
          <w:rFonts w:ascii="Times New Roman" w:hAnsi="Times New Roman"/>
          <w:b/>
          <w:sz w:val="24"/>
          <w:szCs w:val="24"/>
        </w:rPr>
        <w:t>000</w:t>
      </w:r>
      <w:r w:rsidR="00697B73">
        <w:rPr>
          <w:rFonts w:ascii="Times New Roman" w:hAnsi="Times New Roman"/>
          <w:b/>
          <w:sz w:val="24"/>
          <w:szCs w:val="24"/>
        </w:rPr>
        <w:t xml:space="preserve"> лв.</w:t>
      </w:r>
      <w:r w:rsidRPr="002B0A3D">
        <w:rPr>
          <w:rFonts w:ascii="Times New Roman" w:hAnsi="Times New Roman"/>
          <w:b/>
          <w:sz w:val="24"/>
          <w:szCs w:val="24"/>
        </w:rPr>
        <w:t xml:space="preserve"> и максимален размер на безвъзме</w:t>
      </w:r>
      <w:r>
        <w:rPr>
          <w:rFonts w:ascii="Times New Roman" w:hAnsi="Times New Roman"/>
          <w:b/>
          <w:sz w:val="24"/>
          <w:szCs w:val="24"/>
        </w:rPr>
        <w:t xml:space="preserve">здната финансова помощ – </w:t>
      </w:r>
      <w:r w:rsidR="00A37C11" w:rsidRPr="00A37C11">
        <w:rPr>
          <w:rFonts w:ascii="Times New Roman" w:hAnsi="Times New Roman"/>
          <w:b/>
          <w:sz w:val="24"/>
          <w:szCs w:val="24"/>
        </w:rPr>
        <w:t xml:space="preserve">79 261,46 </w:t>
      </w:r>
      <w:r w:rsidRPr="002B0A3D">
        <w:rPr>
          <w:rFonts w:ascii="Times New Roman" w:hAnsi="Times New Roman"/>
          <w:b/>
          <w:sz w:val="24"/>
          <w:szCs w:val="24"/>
        </w:rPr>
        <w:t>лв.</w:t>
      </w:r>
    </w:p>
    <w:p w14:paraId="77043C98" w14:textId="77777777" w:rsidR="00803231" w:rsidRPr="007713C1" w:rsidRDefault="00D23417" w:rsidP="007570DC">
      <w:pPr>
        <w:pStyle w:val="Heading1"/>
        <w:rPr>
          <w:sz w:val="24"/>
          <w:szCs w:val="24"/>
        </w:rPr>
      </w:pPr>
      <w:bookmarkStart w:id="13" w:name="_Toc445385575"/>
      <w:r w:rsidRPr="007713C1">
        <w:t>10. Процент на съфинансиране</w:t>
      </w:r>
      <w:r w:rsidR="00803231" w:rsidRPr="007713C1">
        <w:t>:</w:t>
      </w:r>
      <w:bookmarkEnd w:id="13"/>
    </w:p>
    <w:p w14:paraId="78957D3D" w14:textId="278499DF" w:rsidR="00FE1C12" w:rsidRDefault="00FE1C12"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r w:rsidRPr="00FE1C12">
        <w:rPr>
          <w:rFonts w:ascii="Times New Roman" w:hAnsi="Times New Roman"/>
          <w:b/>
          <w:sz w:val="24"/>
          <w:szCs w:val="24"/>
        </w:rPr>
        <w:t xml:space="preserve">По процедурата </w:t>
      </w:r>
      <w:r w:rsidRPr="00ED07FD">
        <w:rPr>
          <w:rFonts w:ascii="Times New Roman" w:hAnsi="Times New Roman"/>
          <w:b/>
          <w:sz w:val="24"/>
          <w:szCs w:val="24"/>
          <w:u w:val="single"/>
        </w:rPr>
        <w:t xml:space="preserve">не се </w:t>
      </w:r>
      <w:r w:rsidR="003A5BF2">
        <w:rPr>
          <w:rFonts w:ascii="Times New Roman" w:hAnsi="Times New Roman"/>
          <w:b/>
          <w:sz w:val="24"/>
          <w:szCs w:val="24"/>
        </w:rPr>
        <w:t>изисква</w:t>
      </w:r>
      <w:r w:rsidRPr="00FE1C12">
        <w:rPr>
          <w:rFonts w:ascii="Times New Roman" w:hAnsi="Times New Roman"/>
          <w:b/>
          <w:sz w:val="24"/>
          <w:szCs w:val="24"/>
        </w:rPr>
        <w:t xml:space="preserve"> съфинансиране от страна на кандидатите</w:t>
      </w:r>
      <w:r w:rsidR="003A5BF2">
        <w:rPr>
          <w:rFonts w:ascii="Times New Roman" w:hAnsi="Times New Roman"/>
          <w:b/>
          <w:sz w:val="24"/>
          <w:szCs w:val="24"/>
        </w:rPr>
        <w:t xml:space="preserve"> и безвъзмездната финансова помощ може да покрие 100% от допустимите разходи по проекта.</w:t>
      </w:r>
    </w:p>
    <w:p w14:paraId="19F28E44" w14:textId="77777777" w:rsidR="00D55404" w:rsidRDefault="00D55404"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p>
    <w:p w14:paraId="094878FC" w14:textId="77777777" w:rsidR="009B1A2D" w:rsidRPr="008F47B0" w:rsidRDefault="00D55404" w:rsidP="007570DC">
      <w:pPr>
        <w:pStyle w:val="Heading1"/>
        <w:rPr>
          <w:lang w:val="ru-RU"/>
        </w:rPr>
      </w:pPr>
      <w:bookmarkStart w:id="14" w:name="_Toc445385576"/>
      <w:r>
        <w:rPr>
          <w:lang w:val="bg-BG"/>
        </w:rPr>
        <w:t xml:space="preserve"> </w:t>
      </w:r>
      <w:r w:rsidR="009B1A2D" w:rsidRPr="007713C1">
        <w:t>11. Допустими кандидати</w:t>
      </w:r>
      <w:r w:rsidR="008E4E38">
        <w:rPr>
          <w:rStyle w:val="FootnoteReference"/>
        </w:rPr>
        <w:footnoteReference w:id="2"/>
      </w:r>
      <w:r w:rsidR="009B1A2D" w:rsidRPr="007713C1">
        <w:t>:</w:t>
      </w:r>
      <w:bookmarkEnd w:id="14"/>
    </w:p>
    <w:p w14:paraId="3C560A74" w14:textId="77777777" w:rsidR="009B1A2D" w:rsidRPr="007713C1" w:rsidRDefault="009B1A2D" w:rsidP="007570DC">
      <w:pPr>
        <w:pStyle w:val="Heading2"/>
      </w:pPr>
      <w:bookmarkStart w:id="15" w:name="_Toc445385577"/>
      <w:r w:rsidRPr="007713C1">
        <w:t>11.1. Общи изисквания за допустимост на кандидата:</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B174FC" w:rsidRPr="008F724D" w14:paraId="700FDB53" w14:textId="77777777">
        <w:tc>
          <w:tcPr>
            <w:tcW w:w="9496" w:type="dxa"/>
          </w:tcPr>
          <w:tbl>
            <w:tblPr>
              <w:tblStyle w:val="TableGrid"/>
              <w:tblW w:w="0" w:type="auto"/>
              <w:tblLook w:val="04A0" w:firstRow="1" w:lastRow="0" w:firstColumn="1" w:lastColumn="0" w:noHBand="0" w:noVBand="1"/>
            </w:tblPr>
            <w:tblGrid>
              <w:gridCol w:w="9270"/>
            </w:tblGrid>
            <w:tr w:rsidR="00D8611F" w:rsidRPr="00D8611F" w14:paraId="5C4D16A9" w14:textId="77777777" w:rsidTr="008D3897">
              <w:tc>
                <w:tcPr>
                  <w:tcW w:w="9493" w:type="dxa"/>
                </w:tcPr>
                <w:p w14:paraId="4BDBD2BD" w14:textId="77777777" w:rsidR="00D8611F" w:rsidRPr="008D3897" w:rsidRDefault="00D8611F" w:rsidP="008D3897">
                  <w:pPr>
                    <w:jc w:val="both"/>
                    <w:rPr>
                      <w:b/>
                      <w:sz w:val="24"/>
                      <w:szCs w:val="24"/>
                      <w:lang w:eastAsia="bg-BG"/>
                    </w:rPr>
                  </w:pPr>
                  <w:r w:rsidRPr="008D3897">
                    <w:rPr>
                      <w:b/>
                      <w:sz w:val="24"/>
                      <w:szCs w:val="24"/>
                      <w:lang w:eastAsia="bg-BG"/>
                    </w:rPr>
                    <w:t>“Кандидати</w:t>
                  </w:r>
                  <w:r w:rsidRPr="008D3897">
                    <w:rPr>
                      <w:sz w:val="24"/>
                      <w:szCs w:val="24"/>
                      <w:lang w:eastAsia="bg-BG"/>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14:paraId="4B308B41" w14:textId="77777777" w:rsidR="00D8611F" w:rsidRPr="008D3897" w:rsidRDefault="00D8611F" w:rsidP="008D3897">
                  <w:pPr>
                    <w:jc w:val="both"/>
                    <w:rPr>
                      <w:sz w:val="24"/>
                      <w:szCs w:val="24"/>
                      <w:lang w:eastAsia="bg-BG"/>
                    </w:rPr>
                  </w:pPr>
                  <w:r w:rsidRPr="008D3897">
                    <w:rPr>
                      <w:sz w:val="24"/>
                      <w:szCs w:val="24"/>
                      <w:lang w:eastAsia="bg-BG"/>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205B1A5A" w14:textId="77777777" w:rsidR="00D8611F" w:rsidRPr="008D3897" w:rsidRDefault="00D8611F" w:rsidP="008D3897">
                  <w:pPr>
                    <w:jc w:val="both"/>
                    <w:rPr>
                      <w:sz w:val="24"/>
                      <w:szCs w:val="24"/>
                      <w:lang w:eastAsia="bg-BG"/>
                    </w:rPr>
                  </w:pPr>
                  <w:r w:rsidRPr="008D3897">
                    <w:rPr>
                      <w:sz w:val="24"/>
                      <w:szCs w:val="24"/>
                      <w:lang w:eastAsia="bg-BG"/>
                    </w:rPr>
                    <w:t>Във връзка с тези изисквания, към момента на кандидатстване, кандидатите декларират посочените в Декларация на кандидата (Приложение ІІ) обстоятелства.</w:t>
                  </w:r>
                </w:p>
                <w:p w14:paraId="620EAB16" w14:textId="77777777" w:rsidR="00D8611F" w:rsidRPr="008D3897" w:rsidRDefault="00D8611F" w:rsidP="008D3897">
                  <w:pPr>
                    <w:jc w:val="both"/>
                    <w:rPr>
                      <w:sz w:val="24"/>
                      <w:szCs w:val="24"/>
                      <w:lang w:eastAsia="bg-BG"/>
                    </w:rPr>
                  </w:pPr>
                  <w:r w:rsidRPr="008D3897">
                    <w:rPr>
                      <w:sz w:val="24"/>
                      <w:szCs w:val="24"/>
                      <w:lang w:eastAsia="bg-BG"/>
                    </w:rPr>
                    <w:lastRenderedPageBreak/>
                    <w:t>Изискванията са задължителни за кандидата.</w:t>
                  </w:r>
                </w:p>
                <w:p w14:paraId="67C65444" w14:textId="79D27683" w:rsidR="00D8611F" w:rsidRDefault="00D8611F" w:rsidP="008D3897">
                  <w:pPr>
                    <w:jc w:val="both"/>
                    <w:rPr>
                      <w:sz w:val="24"/>
                      <w:szCs w:val="24"/>
                      <w:lang w:eastAsia="bg-BG"/>
                    </w:rPr>
                  </w:pPr>
                  <w:r w:rsidRPr="008D3897">
                    <w:rPr>
                      <w:sz w:val="24"/>
                      <w:szCs w:val="24"/>
                      <w:lang w:eastAsia="bg-BG"/>
                    </w:rPr>
                    <w:t xml:space="preserve">Обстоятелствата се декларират от всички лица, които са овластени да представляват кандидата, независимо дали гo представляват заедно и/или поотделно, и са вписани в </w:t>
                  </w:r>
                  <w:r w:rsidRPr="008D3897">
                    <w:rPr>
                      <w:sz w:val="24"/>
                      <w:szCs w:val="24"/>
                      <w:lang w:val="en-US" w:eastAsia="bg-BG"/>
                    </w:rPr>
                    <w:t>T</w:t>
                  </w:r>
                  <w:r w:rsidRPr="008D3897">
                    <w:rPr>
                      <w:sz w:val="24"/>
                      <w:szCs w:val="24"/>
                      <w:lang w:eastAsia="bg-BG"/>
                    </w:rPr>
                    <w:t xml:space="preserve">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1A1971B5" w14:textId="071F78C0" w:rsidR="004252CD" w:rsidRPr="008D3897" w:rsidRDefault="004252CD" w:rsidP="008D3897">
                  <w:pPr>
                    <w:jc w:val="both"/>
                    <w:rPr>
                      <w:sz w:val="24"/>
                      <w:szCs w:val="24"/>
                      <w:lang w:eastAsia="bg-BG"/>
                    </w:rPr>
                  </w:pPr>
                  <w:r w:rsidRPr="004252CD">
                    <w:rPr>
                      <w:sz w:val="24"/>
                      <w:szCs w:val="24"/>
                      <w:lang w:eastAsia="bg-BG"/>
                    </w:rPr>
                    <w:t>Обстоятелствата по чл. 54, ал. 1, т. 1, 2 и 7 от ЗОП се декларират и от лицата, упълномощени/оправомощени за подаване на проектното предложение с КЕП.</w:t>
                  </w:r>
                </w:p>
                <w:p w14:paraId="3E9B9669" w14:textId="77777777" w:rsidR="00D8611F" w:rsidRPr="008D3897" w:rsidRDefault="00D8611F" w:rsidP="008D3897">
                  <w:pPr>
                    <w:jc w:val="both"/>
                    <w:rPr>
                      <w:sz w:val="24"/>
                      <w:szCs w:val="24"/>
                      <w:lang w:eastAsia="bg-BG"/>
                    </w:rPr>
                  </w:pPr>
                  <w:r w:rsidRPr="008D3897">
                    <w:rPr>
                      <w:sz w:val="24"/>
                      <w:szCs w:val="24"/>
                      <w:lang w:eastAsia="bg-BG"/>
                    </w:rPr>
                    <w:t>Преди сключване на административния договор, декларираните обстоятелства се доказват и се извършва проверка от УО, относно същите:</w:t>
                  </w:r>
                </w:p>
                <w:p w14:paraId="71E60E96" w14:textId="77777777" w:rsidR="00D8611F" w:rsidRPr="00D8611F" w:rsidRDefault="00D8611F" w:rsidP="008D3897">
                  <w:pPr>
                    <w:pStyle w:val="ListParagraph"/>
                    <w:jc w:val="both"/>
                    <w:rPr>
                      <w:sz w:val="24"/>
                      <w:szCs w:val="24"/>
                      <w:lang w:eastAsia="bg-BG"/>
                    </w:rPr>
                  </w:pPr>
                  <w:r w:rsidRPr="00D8611F">
                    <w:rPr>
                      <w:sz w:val="24"/>
                      <w:szCs w:val="24"/>
                      <w:lang w:eastAsia="bg-BG"/>
                    </w:rPr>
                    <w:t>1.</w:t>
                  </w:r>
                  <w:r w:rsidRPr="00D8611F">
                    <w:rPr>
                      <w:sz w:val="24"/>
                      <w:szCs w:val="24"/>
                      <w:lang w:eastAsia="bg-BG"/>
                    </w:rPr>
                    <w:tab/>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21CA8588" w14:textId="77777777" w:rsidR="00D8611F" w:rsidRDefault="00D8611F" w:rsidP="008D3897">
                  <w:pPr>
                    <w:pStyle w:val="ListParagraph"/>
                    <w:jc w:val="both"/>
                    <w:rPr>
                      <w:b/>
                      <w:sz w:val="24"/>
                      <w:szCs w:val="24"/>
                      <w:lang w:eastAsia="bg-BG"/>
                    </w:rPr>
                  </w:pPr>
                  <w:r w:rsidRPr="00D8611F">
                    <w:rPr>
                      <w:sz w:val="24"/>
                      <w:szCs w:val="24"/>
                      <w:lang w:eastAsia="bg-BG"/>
                    </w:rPr>
                    <w:t>2.</w:t>
                  </w:r>
                  <w:r w:rsidRPr="00D8611F">
                    <w:rPr>
                      <w:sz w:val="24"/>
                      <w:szCs w:val="24"/>
                      <w:lang w:eastAsia="bg-BG"/>
                    </w:rPr>
                    <w:tab/>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r w:rsidRPr="00D8611F">
                    <w:rPr>
                      <w:b/>
                      <w:sz w:val="24"/>
                      <w:szCs w:val="24"/>
                      <w:lang w:eastAsia="bg-BG"/>
                    </w:rPr>
                    <w:t>.</w:t>
                  </w:r>
                </w:p>
                <w:p w14:paraId="717181C1" w14:textId="77777777" w:rsidR="008D3897" w:rsidRPr="00D8611F" w:rsidRDefault="008D3897" w:rsidP="008D3897">
                  <w:pPr>
                    <w:pStyle w:val="ListParagraph"/>
                    <w:jc w:val="both"/>
                    <w:rPr>
                      <w:b/>
                      <w:sz w:val="24"/>
                      <w:szCs w:val="24"/>
                      <w:lang w:eastAsia="bg-BG"/>
                    </w:rPr>
                  </w:pPr>
                </w:p>
                <w:p w14:paraId="2A8BB0AA" w14:textId="77777777" w:rsidR="00D8611F" w:rsidRPr="008D3897" w:rsidRDefault="00D8611F" w:rsidP="008D3897">
                  <w:pPr>
                    <w:jc w:val="both"/>
                    <w:rPr>
                      <w:b/>
                      <w:sz w:val="24"/>
                      <w:szCs w:val="24"/>
                      <w:lang w:eastAsia="bg-BG"/>
                    </w:rPr>
                  </w:pPr>
                  <w:r w:rsidRPr="008D3897">
                    <w:rPr>
                      <w:b/>
                      <w:sz w:val="24"/>
                      <w:szCs w:val="24"/>
                      <w:lang w:eastAsia="bg-BG"/>
                    </w:rPr>
                    <w:t>Освен гореизброените изисквания, кандидатът трябва да отговаря и на следните изисквания:</w:t>
                  </w:r>
                </w:p>
                <w:p w14:paraId="4C0544CC" w14:textId="250FC7CC" w:rsidR="00D8611F" w:rsidRPr="00D8611F" w:rsidRDefault="00D8611F" w:rsidP="008D3897">
                  <w:pPr>
                    <w:pStyle w:val="ListParagraph"/>
                    <w:numPr>
                      <w:ilvl w:val="0"/>
                      <w:numId w:val="28"/>
                    </w:numPr>
                    <w:jc w:val="both"/>
                    <w:rPr>
                      <w:sz w:val="24"/>
                      <w:szCs w:val="24"/>
                      <w:lang w:eastAsia="bg-BG"/>
                    </w:rPr>
                  </w:pPr>
                  <w:r w:rsidRPr="00D8611F">
                    <w:rPr>
                      <w:sz w:val="24"/>
                      <w:szCs w:val="24"/>
                      <w:lang w:eastAsia="bg-BG"/>
                    </w:rPr>
                    <w:t>Кандидатът е лице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 Кандидатът трябва да има седалище и адрес на управление на територията на действие на МИГ „</w:t>
                  </w:r>
                  <w:r>
                    <w:rPr>
                      <w:sz w:val="24"/>
                      <w:szCs w:val="24"/>
                      <w:lang w:eastAsia="bg-BG"/>
                    </w:rPr>
                    <w:t>Лясковец - Стражица</w:t>
                  </w:r>
                  <w:r w:rsidRPr="00D8611F">
                    <w:rPr>
                      <w:sz w:val="24"/>
                      <w:szCs w:val="24"/>
                      <w:lang w:eastAsia="bg-BG"/>
                    </w:rPr>
                    <w:t xml:space="preserve">“ </w:t>
                  </w:r>
                  <w:r w:rsidRPr="00D8611F">
                    <w:rPr>
                      <w:sz w:val="24"/>
                      <w:szCs w:val="24"/>
                      <w:vertAlign w:val="superscript"/>
                      <w:lang w:eastAsia="bg-BG"/>
                    </w:rPr>
                    <w:footnoteReference w:id="3"/>
                  </w:r>
                  <w:r w:rsidRPr="00D8611F">
                    <w:rPr>
                      <w:sz w:val="24"/>
                      <w:szCs w:val="24"/>
                      <w:lang w:eastAsia="bg-BG"/>
                    </w:rPr>
                    <w:t xml:space="preserve"> и да осъществява дейностите по проекта на територията на действие на МИГ„Лясковец - Стражица“.</w:t>
                  </w:r>
                </w:p>
                <w:p w14:paraId="012D1430" w14:textId="77777777" w:rsidR="00D8611F" w:rsidRPr="00D8611F" w:rsidRDefault="00D8611F" w:rsidP="00D8611F">
                  <w:pPr>
                    <w:pStyle w:val="ListParagraph"/>
                    <w:numPr>
                      <w:ilvl w:val="0"/>
                      <w:numId w:val="28"/>
                    </w:numPr>
                    <w:rPr>
                      <w:sz w:val="24"/>
                      <w:szCs w:val="24"/>
                      <w:lang w:eastAsia="bg-BG"/>
                    </w:rPr>
                  </w:pPr>
                  <w:r w:rsidRPr="00D8611F">
                    <w:rPr>
                      <w:sz w:val="24"/>
                      <w:szCs w:val="24"/>
                      <w:lang w:eastAsia="bg-BG"/>
                    </w:rPr>
                    <w:t xml:space="preserve">Кандидатът отговаря на изискванията за предоставяне на минимални помощи, в съответствие с Регламент (ЕС) № 1407/2013; </w:t>
                  </w:r>
                </w:p>
                <w:p w14:paraId="396C3341" w14:textId="77777777" w:rsidR="00D8611F" w:rsidRPr="008D3897" w:rsidRDefault="00D8611F" w:rsidP="008D3897">
                  <w:pPr>
                    <w:jc w:val="both"/>
                    <w:rPr>
                      <w:sz w:val="24"/>
                      <w:szCs w:val="24"/>
                      <w:lang w:eastAsia="bg-BG"/>
                    </w:rPr>
                  </w:pPr>
                  <w:r w:rsidRPr="008D3897">
                    <w:rPr>
                      <w:sz w:val="24"/>
                      <w:szCs w:val="24"/>
                      <w:lang w:eastAsia="bg-BG"/>
                    </w:rPr>
                    <w:t>Оценителната комисия ще провери на етап оценка на административно съответствие и допустимост дали кандидатът не попада в забранителния режим на Регламент (ЕС) № 1407/2013. Всички други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p>
                <w:p w14:paraId="06F718D6" w14:textId="77777777" w:rsidR="00D8611F" w:rsidRPr="008D3897" w:rsidRDefault="00D8611F" w:rsidP="008D3897">
                  <w:pPr>
                    <w:spacing w:before="120"/>
                    <w:jc w:val="both"/>
                    <w:rPr>
                      <w:sz w:val="24"/>
                      <w:szCs w:val="24"/>
                      <w:lang w:eastAsia="bg-BG"/>
                    </w:rPr>
                  </w:pPr>
                  <w:r w:rsidRPr="008D3897">
                    <w:rPr>
                      <w:sz w:val="24"/>
                      <w:szCs w:val="24"/>
                      <w:lang w:eastAsia="bg-BG"/>
                    </w:rPr>
                    <w:t xml:space="preserve">За да удостоверят икономическата си дейност, всички кандидати по процедурата </w:t>
                  </w:r>
                  <w:r w:rsidRPr="008D3897">
                    <w:rPr>
                      <w:sz w:val="24"/>
                      <w:szCs w:val="24"/>
                      <w:lang w:eastAsia="bg-BG"/>
                    </w:rPr>
                    <w:lastRenderedPageBreak/>
                    <w:t xml:space="preserve">следва да посочат във Формуляра за кандидатстване в раздел 2 „Данни за кандидата „Код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 кодовете по КИД на основната и допълнителна икономическа дейност. </w:t>
                  </w:r>
                </w:p>
                <w:p w14:paraId="50808EFA" w14:textId="77777777" w:rsidR="00D8611F" w:rsidRPr="008D3897" w:rsidRDefault="00D8611F" w:rsidP="008D3897">
                  <w:pPr>
                    <w:spacing w:before="120"/>
                    <w:jc w:val="both"/>
                    <w:rPr>
                      <w:sz w:val="24"/>
                      <w:szCs w:val="24"/>
                      <w:lang w:eastAsia="bg-BG"/>
                    </w:rPr>
                  </w:pPr>
                  <w:r w:rsidRPr="008D3897">
                    <w:rPr>
                      <w:sz w:val="24"/>
                      <w:szCs w:val="24"/>
                      <w:lang w:eastAsia="bg-BG"/>
                    </w:rPr>
                    <w:t>За определяне на допустимостта се използва Класификация на икономическите дейности (КИД-2008).</w:t>
                  </w:r>
                </w:p>
                <w:p w14:paraId="6EF9E05D" w14:textId="77777777" w:rsidR="00D8611F" w:rsidRPr="00D8611F" w:rsidRDefault="00D8611F" w:rsidP="00A56C27">
                  <w:pPr>
                    <w:pStyle w:val="ListParagraph"/>
                    <w:numPr>
                      <w:ilvl w:val="0"/>
                      <w:numId w:val="28"/>
                    </w:numPr>
                    <w:jc w:val="both"/>
                    <w:rPr>
                      <w:sz w:val="24"/>
                      <w:szCs w:val="24"/>
                      <w:lang w:eastAsia="bg-BG"/>
                    </w:rPr>
                  </w:pPr>
                  <w:r w:rsidRPr="00D8611F">
                    <w:rPr>
                      <w:sz w:val="24"/>
                      <w:szCs w:val="24"/>
                      <w:lang w:eastAsia="bg-BG"/>
                    </w:rPr>
                    <w:t>Кандидатът разполага с финансов капацитет:</w:t>
                  </w:r>
                </w:p>
                <w:p w14:paraId="59DBCF9A" w14:textId="05929B9D" w:rsidR="00697B73" w:rsidRPr="003C71E2" w:rsidRDefault="00172934" w:rsidP="00697B73">
                  <w:pPr>
                    <w:jc w:val="both"/>
                    <w:rPr>
                      <w:rFonts w:eastAsia="Calibri"/>
                      <w:sz w:val="24"/>
                      <w:szCs w:val="24"/>
                    </w:rPr>
                  </w:pPr>
                  <w:r>
                    <w:rPr>
                      <w:sz w:val="24"/>
                      <w:szCs w:val="24"/>
                      <w:lang w:eastAsia="bg-BG"/>
                    </w:rPr>
                    <w:t xml:space="preserve">- </w:t>
                  </w:r>
                  <w:r w:rsidR="00D8611F" w:rsidRPr="008D3897">
                    <w:rPr>
                      <w:sz w:val="24"/>
                      <w:szCs w:val="24"/>
                      <w:lang w:eastAsia="bg-BG"/>
                    </w:rPr>
                    <w:t xml:space="preserve">Когато кандидатът не е новорегистрирана/новосъздадена организация се извършва служебна проверка в Националния статистически институт (НСИ) на данните от счетоводния баланс на организацията за последната приключила финансова година (текуща печалба/загуба, стойност на собствения капитал и стойност на актива). </w:t>
                  </w:r>
                  <w:r w:rsidR="00024AFB" w:rsidRPr="003C71E2">
                    <w:rPr>
                      <w:rFonts w:eastAsia="Calibri"/>
                      <w:sz w:val="24"/>
                      <w:szCs w:val="24"/>
                    </w:rPr>
                    <w:t>В случай че кандидат</w:t>
                  </w:r>
                  <w:r w:rsidR="00697B73" w:rsidRPr="003C71E2">
                    <w:rPr>
                      <w:rFonts w:eastAsia="Calibri"/>
                      <w:sz w:val="24"/>
                      <w:szCs w:val="24"/>
                    </w:rPr>
                    <w:t>ите не са представили в НСИ финансови отчети за предходната финансова година, следва да приложат счетоводният баланс за 2019 г. в секция 12 на ИСУН 2020 на етап подаване на проектно предложение.</w:t>
                  </w:r>
                </w:p>
                <w:p w14:paraId="2D51ADE7" w14:textId="77777777" w:rsidR="00D8611F" w:rsidRPr="008D3897" w:rsidRDefault="00172934" w:rsidP="008D3897">
                  <w:pPr>
                    <w:jc w:val="both"/>
                    <w:rPr>
                      <w:sz w:val="24"/>
                      <w:szCs w:val="24"/>
                      <w:lang w:eastAsia="bg-BG"/>
                    </w:rPr>
                  </w:pPr>
                  <w:r>
                    <w:rPr>
                      <w:sz w:val="24"/>
                      <w:szCs w:val="24"/>
                      <w:lang w:eastAsia="bg-BG"/>
                    </w:rPr>
                    <w:t xml:space="preserve">- </w:t>
                  </w:r>
                  <w:r w:rsidR="00D8611F" w:rsidRPr="008D3897">
                    <w:rPr>
                      <w:sz w:val="24"/>
                      <w:szCs w:val="24"/>
                      <w:lang w:eastAsia="bg-BG"/>
                    </w:rPr>
                    <w:t>Когато кандидатът е новорегистрирана/новосъздадена през текущата година организация, следва да се приложи в секция 12 на ИСУН 2020 Счетоводен баланс за периода от регистрацията на кандидата до последната дата на месеца, предхождащ месеца на кандидатстване.</w:t>
                  </w:r>
                </w:p>
                <w:p w14:paraId="3189339D" w14:textId="77777777" w:rsidR="00D8611F" w:rsidRPr="008D3897" w:rsidRDefault="00D8611F" w:rsidP="008D3897">
                  <w:pPr>
                    <w:spacing w:line="240" w:lineRule="auto"/>
                    <w:jc w:val="both"/>
                    <w:rPr>
                      <w:sz w:val="24"/>
                      <w:szCs w:val="24"/>
                      <w:lang w:eastAsia="bg-BG"/>
                    </w:rPr>
                  </w:pPr>
                  <w:r w:rsidRPr="008D3897">
                    <w:rPr>
                      <w:sz w:val="24"/>
                      <w:szCs w:val="24"/>
                      <w:lang w:eastAsia="bg-BG"/>
                    </w:rPr>
                    <w:t>Финансовият капацитет се изчислява на база Методика за оценка на финансовия капацитет на кандидатите по Оперативна програма „Развитие на човешките ресурси“ 2014 – 2020 г.</w:t>
                  </w:r>
                </w:p>
                <w:p w14:paraId="778DDD75" w14:textId="77777777" w:rsidR="008D3897" w:rsidRDefault="00D8611F" w:rsidP="00A56C27">
                  <w:pPr>
                    <w:pStyle w:val="ListParagraph"/>
                    <w:numPr>
                      <w:ilvl w:val="0"/>
                      <w:numId w:val="28"/>
                    </w:numPr>
                    <w:spacing w:before="120" w:after="120" w:line="240" w:lineRule="auto"/>
                    <w:jc w:val="both"/>
                    <w:rPr>
                      <w:sz w:val="24"/>
                      <w:szCs w:val="24"/>
                      <w:lang w:eastAsia="bg-BG"/>
                    </w:rPr>
                  </w:pPr>
                  <w:r w:rsidRPr="00D8611F">
                    <w:rPr>
                      <w:sz w:val="24"/>
                      <w:szCs w:val="24"/>
                      <w:lang w:eastAsia="bg-BG"/>
                    </w:rPr>
                    <w:t>Кандидатът не е държавна/централна и/или териториална и/или общинска администрация</w:t>
                  </w:r>
                  <w:r w:rsidR="008D3897">
                    <w:rPr>
                      <w:sz w:val="24"/>
                      <w:szCs w:val="24"/>
                      <w:lang w:eastAsia="bg-BG"/>
                    </w:rPr>
                    <w:t>.</w:t>
                  </w:r>
                </w:p>
                <w:p w14:paraId="1875C007" w14:textId="77777777" w:rsidR="00D8611F" w:rsidRPr="008D3897" w:rsidRDefault="00D8611F" w:rsidP="008D3897">
                  <w:pPr>
                    <w:spacing w:before="120" w:after="120" w:line="240" w:lineRule="auto"/>
                    <w:ind w:left="360"/>
                    <w:jc w:val="both"/>
                    <w:rPr>
                      <w:sz w:val="24"/>
                      <w:szCs w:val="24"/>
                      <w:lang w:eastAsia="bg-BG"/>
                    </w:rPr>
                  </w:pPr>
                </w:p>
                <w:p w14:paraId="78547D05" w14:textId="77777777" w:rsidR="00D8611F" w:rsidRPr="00D8611F" w:rsidRDefault="00D8611F" w:rsidP="00A56C27">
                  <w:pPr>
                    <w:pStyle w:val="ListParagraph"/>
                    <w:spacing w:line="240" w:lineRule="auto"/>
                    <w:rPr>
                      <w:sz w:val="24"/>
                      <w:szCs w:val="24"/>
                      <w:lang w:eastAsia="bg-BG"/>
                    </w:rPr>
                  </w:pPr>
                </w:p>
              </w:tc>
            </w:tr>
          </w:tbl>
          <w:p w14:paraId="146B3653" w14:textId="77777777" w:rsidR="009D402A" w:rsidRPr="008D3897" w:rsidRDefault="009D402A" w:rsidP="008D3897">
            <w:pPr>
              <w:pStyle w:val="ListParagraph"/>
              <w:spacing w:before="120" w:after="120" w:line="240" w:lineRule="auto"/>
              <w:jc w:val="both"/>
              <w:rPr>
                <w:rFonts w:ascii="Times New Roman" w:eastAsia="Times New Roman" w:hAnsi="Times New Roman"/>
                <w:b/>
                <w:sz w:val="24"/>
                <w:szCs w:val="24"/>
                <w:lang w:eastAsia="bg-BG"/>
              </w:rPr>
            </w:pPr>
          </w:p>
        </w:tc>
      </w:tr>
    </w:tbl>
    <w:p w14:paraId="2B5E02CE" w14:textId="77777777" w:rsidR="00B174FC" w:rsidRPr="007713C1" w:rsidRDefault="00822571" w:rsidP="007570DC">
      <w:pPr>
        <w:pStyle w:val="Heading2"/>
      </w:pPr>
      <w:bookmarkStart w:id="16" w:name="_Toc445385578"/>
      <w:r w:rsidRPr="007713C1">
        <w:lastRenderedPageBreak/>
        <w:t>11.2. Специфични изисквания за допустимост на кандидата</w:t>
      </w:r>
      <w:bookmarkEnd w:id="16"/>
    </w:p>
    <w:p w14:paraId="509E51DB" w14:textId="77777777" w:rsidR="00FC5310" w:rsidRPr="008F47B0" w:rsidRDefault="00FC5310" w:rsidP="008F724D">
      <w:pPr>
        <w:pStyle w:val="Text1"/>
        <w:ind w:left="0"/>
        <w:rPr>
          <w:b/>
          <w:szCs w:val="24"/>
          <w:lang w:val="ru-RU" w:eastAsia="bg-BG"/>
        </w:rPr>
        <w:sectPr w:rsidR="00FC5310" w:rsidRPr="008F47B0" w:rsidSect="00CE0058">
          <w:headerReference w:type="default" r:id="rId8"/>
          <w:footerReference w:type="default" r:id="rId9"/>
          <w:pgSz w:w="11906" w:h="16838"/>
          <w:pgMar w:top="2208" w:right="1133" w:bottom="1702" w:left="1417" w:header="51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822571" w:rsidRPr="008F724D" w14:paraId="28031741" w14:textId="77777777">
        <w:tc>
          <w:tcPr>
            <w:tcW w:w="9496" w:type="dxa"/>
          </w:tcPr>
          <w:p w14:paraId="64B7212A" w14:textId="77777777" w:rsidR="00822571" w:rsidRDefault="00822571" w:rsidP="008F724D">
            <w:pPr>
              <w:pStyle w:val="Text1"/>
              <w:ind w:left="0"/>
              <w:rPr>
                <w:b/>
                <w:szCs w:val="24"/>
                <w:lang w:val="bg-BG" w:eastAsia="bg-BG"/>
              </w:rPr>
            </w:pPr>
            <w:r w:rsidRPr="008F724D">
              <w:rPr>
                <w:b/>
                <w:szCs w:val="24"/>
                <w:lang w:val="bg-BG" w:eastAsia="bg-BG"/>
              </w:rPr>
              <w:t>В допълнение към общите изисквания, кандидатът трябва да отговаря и на</w:t>
            </w:r>
            <w:r w:rsidRPr="008F724D">
              <w:rPr>
                <w:szCs w:val="24"/>
                <w:lang w:val="bg-BG" w:eastAsia="bg-BG"/>
              </w:rPr>
              <w:t xml:space="preserve"> </w:t>
            </w:r>
            <w:r w:rsidRPr="008F724D">
              <w:rPr>
                <w:b/>
                <w:szCs w:val="24"/>
                <w:lang w:val="bg-BG" w:eastAsia="bg-BG"/>
              </w:rPr>
              <w:t>следните условия:</w:t>
            </w:r>
          </w:p>
          <w:p w14:paraId="60802398" w14:textId="77777777" w:rsidR="001D3B47" w:rsidRDefault="00D55404" w:rsidP="00CD1E69">
            <w:pPr>
              <w:spacing w:line="276" w:lineRule="auto"/>
              <w:jc w:val="both"/>
              <w:rPr>
                <w:rFonts w:ascii="Times New Roman" w:hAnsi="Times New Roman"/>
                <w:sz w:val="24"/>
                <w:szCs w:val="24"/>
              </w:rPr>
            </w:pPr>
            <w:r>
              <w:rPr>
                <w:rFonts w:ascii="Times New Roman" w:hAnsi="Times New Roman"/>
                <w:color w:val="4F6228"/>
                <w:sz w:val="24"/>
                <w:szCs w:val="24"/>
              </w:rPr>
              <w:t>1.</w:t>
            </w:r>
            <w:r w:rsidR="008D3897">
              <w:rPr>
                <w:rFonts w:ascii="Times New Roman" w:hAnsi="Times New Roman"/>
                <w:color w:val="4F6228"/>
                <w:sz w:val="24"/>
                <w:szCs w:val="24"/>
              </w:rPr>
              <w:t xml:space="preserve"> </w:t>
            </w:r>
            <w:r w:rsidR="00CD1E69" w:rsidRPr="008D3897">
              <w:rPr>
                <w:rFonts w:ascii="Times New Roman" w:hAnsi="Times New Roman"/>
                <w:b/>
                <w:sz w:val="24"/>
                <w:szCs w:val="24"/>
              </w:rPr>
              <w:t>Кандидатите могат да бъдат микро, малки и средни предприятия</w:t>
            </w:r>
            <w:r w:rsidR="00CD1E69" w:rsidRPr="008D3897">
              <w:rPr>
                <w:rFonts w:ascii="Times New Roman" w:hAnsi="Times New Roman"/>
                <w:sz w:val="24"/>
                <w:szCs w:val="24"/>
              </w:rPr>
              <w:t xml:space="preserve"> в качеството им на работодатели</w:t>
            </w:r>
            <w:r w:rsidR="00375A37" w:rsidRPr="008D3897">
              <w:rPr>
                <w:rFonts w:ascii="Times New Roman" w:hAnsi="Times New Roman"/>
                <w:sz w:val="24"/>
                <w:szCs w:val="24"/>
              </w:rPr>
              <w:t xml:space="preserve"> в сферата на преработвателната промишленост</w:t>
            </w:r>
            <w:r w:rsidR="00DC09F9" w:rsidRPr="008D3897">
              <w:rPr>
                <w:rFonts w:ascii="Times New Roman" w:hAnsi="Times New Roman"/>
                <w:sz w:val="24"/>
                <w:szCs w:val="24"/>
              </w:rPr>
              <w:t xml:space="preserve"> с </w:t>
            </w:r>
            <w:r w:rsidR="001D3B47" w:rsidRPr="008D3897">
              <w:rPr>
                <w:rFonts w:ascii="Times New Roman" w:hAnsi="Times New Roman"/>
                <w:sz w:val="24"/>
                <w:szCs w:val="24"/>
              </w:rPr>
              <w:t xml:space="preserve">Код по КИД </w:t>
            </w:r>
            <w:r w:rsidR="001D3B47">
              <w:rPr>
                <w:rFonts w:ascii="Times New Roman" w:hAnsi="Times New Roman"/>
                <w:sz w:val="24"/>
                <w:szCs w:val="24"/>
              </w:rPr>
              <w:t>2008</w:t>
            </w:r>
            <w:r w:rsidR="003720F0">
              <w:rPr>
                <w:rFonts w:ascii="Times New Roman" w:hAnsi="Times New Roman"/>
                <w:sz w:val="24"/>
                <w:szCs w:val="24"/>
              </w:rPr>
              <w:t>, както следва</w:t>
            </w:r>
            <w:r w:rsidR="001D3B47">
              <w:rPr>
                <w:rFonts w:ascii="Times New Roman" w:hAnsi="Times New Roman"/>
                <w:sz w:val="24"/>
                <w:szCs w:val="24"/>
              </w:rPr>
              <w:t>:</w:t>
            </w:r>
          </w:p>
          <w:p w14:paraId="2EE2682B" w14:textId="77777777" w:rsidR="001D3B47" w:rsidRPr="001D3B47" w:rsidRDefault="001D3B47" w:rsidP="00CD1E69">
            <w:pPr>
              <w:spacing w:line="276" w:lineRule="auto"/>
              <w:jc w:val="both"/>
              <w:rPr>
                <w:rFonts w:ascii="Times New Roman" w:hAnsi="Times New Roman"/>
                <w:sz w:val="24"/>
                <w:szCs w:val="24"/>
              </w:rPr>
            </w:pPr>
            <w:r w:rsidRPr="001D3B47">
              <w:rPr>
                <w:rFonts w:ascii="Times New Roman" w:hAnsi="Times New Roman"/>
                <w:sz w:val="24"/>
                <w:szCs w:val="24"/>
              </w:rPr>
              <w:t>10 Производство на хранителни продукти</w:t>
            </w:r>
          </w:p>
          <w:p w14:paraId="3EC30D51" w14:textId="77777777" w:rsidR="00CD1E69" w:rsidRPr="001D3B47" w:rsidRDefault="001D3B47" w:rsidP="00CD1E69">
            <w:pPr>
              <w:spacing w:line="276" w:lineRule="auto"/>
              <w:jc w:val="both"/>
              <w:rPr>
                <w:rFonts w:ascii="Times New Roman" w:hAnsi="Times New Roman"/>
                <w:sz w:val="24"/>
                <w:szCs w:val="24"/>
              </w:rPr>
            </w:pPr>
            <w:r w:rsidRPr="001D3B47">
              <w:rPr>
                <w:rFonts w:ascii="Times New Roman" w:hAnsi="Times New Roman"/>
                <w:sz w:val="24"/>
                <w:szCs w:val="24"/>
              </w:rPr>
              <w:t>11 Производство на напитки</w:t>
            </w:r>
          </w:p>
          <w:p w14:paraId="5BE2B224" w14:textId="77777777" w:rsidR="001D3B47" w:rsidRDefault="001D3B47" w:rsidP="00CD1E69">
            <w:pPr>
              <w:spacing w:line="276" w:lineRule="auto"/>
              <w:jc w:val="both"/>
              <w:rPr>
                <w:rFonts w:ascii="Times New Roman" w:hAnsi="Times New Roman"/>
                <w:sz w:val="24"/>
                <w:szCs w:val="24"/>
              </w:rPr>
            </w:pPr>
            <w:r w:rsidRPr="001D3B47">
              <w:rPr>
                <w:rFonts w:ascii="Times New Roman" w:hAnsi="Times New Roman"/>
                <w:sz w:val="24"/>
                <w:szCs w:val="24"/>
              </w:rPr>
              <w:t>12 Производство на тютюневи изделия</w:t>
            </w:r>
          </w:p>
          <w:p w14:paraId="22D9077D" w14:textId="77777777" w:rsidR="001D3B47" w:rsidRDefault="001D3B47" w:rsidP="00CD1E69">
            <w:pPr>
              <w:spacing w:line="276" w:lineRule="auto"/>
              <w:jc w:val="both"/>
              <w:rPr>
                <w:rFonts w:ascii="Times New Roman" w:hAnsi="Times New Roman"/>
                <w:sz w:val="24"/>
                <w:szCs w:val="24"/>
              </w:rPr>
            </w:pPr>
            <w:r w:rsidRPr="001D3B47">
              <w:rPr>
                <w:rFonts w:ascii="Times New Roman" w:hAnsi="Times New Roman"/>
                <w:sz w:val="24"/>
                <w:szCs w:val="24"/>
              </w:rPr>
              <w:lastRenderedPageBreak/>
              <w:t>13 Производство на текстил и изделия от текстил, без облекло</w:t>
            </w:r>
          </w:p>
          <w:p w14:paraId="7B011C46" w14:textId="77777777" w:rsidR="00813B21" w:rsidRDefault="00813B21" w:rsidP="00CD1E69">
            <w:pPr>
              <w:spacing w:line="276" w:lineRule="auto"/>
              <w:jc w:val="both"/>
              <w:rPr>
                <w:rFonts w:ascii="Times New Roman" w:hAnsi="Times New Roman"/>
                <w:sz w:val="24"/>
                <w:szCs w:val="24"/>
              </w:rPr>
            </w:pPr>
            <w:r>
              <w:rPr>
                <w:rFonts w:ascii="Times New Roman" w:hAnsi="Times New Roman"/>
                <w:sz w:val="24"/>
                <w:szCs w:val="24"/>
              </w:rPr>
              <w:t>14</w:t>
            </w:r>
            <w:r>
              <w:t xml:space="preserve"> </w:t>
            </w:r>
            <w:r w:rsidRPr="00E31328">
              <w:rPr>
                <w:rFonts w:ascii="Times New Roman" w:hAnsi="Times New Roman"/>
                <w:sz w:val="24"/>
                <w:szCs w:val="24"/>
              </w:rPr>
              <w:t>Производство на облекло</w:t>
            </w:r>
            <w:r w:rsidRPr="00813B21">
              <w:rPr>
                <w:rFonts w:ascii="Times New Roman" w:hAnsi="Times New Roman"/>
                <w:sz w:val="24"/>
                <w:szCs w:val="24"/>
              </w:rPr>
              <w:t xml:space="preserve"> </w:t>
            </w:r>
          </w:p>
          <w:p w14:paraId="74A6AFC6" w14:textId="77777777" w:rsidR="003720F0" w:rsidRDefault="003720F0" w:rsidP="00CD1E69">
            <w:pPr>
              <w:spacing w:line="276" w:lineRule="auto"/>
              <w:jc w:val="both"/>
              <w:rPr>
                <w:rFonts w:ascii="Times New Roman" w:hAnsi="Times New Roman"/>
                <w:sz w:val="24"/>
                <w:szCs w:val="24"/>
              </w:rPr>
            </w:pPr>
            <w:r>
              <w:rPr>
                <w:rFonts w:ascii="Times New Roman" w:hAnsi="Times New Roman"/>
                <w:sz w:val="24"/>
                <w:szCs w:val="24"/>
              </w:rPr>
              <w:t xml:space="preserve">15 </w:t>
            </w:r>
            <w:r w:rsidRPr="003720F0">
              <w:rPr>
                <w:rFonts w:ascii="Times New Roman" w:hAnsi="Times New Roman"/>
                <w:sz w:val="24"/>
                <w:szCs w:val="24"/>
              </w:rPr>
              <w:t>Обработка на кожи; производство на обувки и други изделия от обработени кожи без косъм</w:t>
            </w:r>
          </w:p>
          <w:p w14:paraId="39B232FF" w14:textId="77777777" w:rsidR="004E78BE" w:rsidRDefault="004E78BE" w:rsidP="00CD1E69">
            <w:pPr>
              <w:spacing w:line="276" w:lineRule="auto"/>
              <w:jc w:val="both"/>
              <w:rPr>
                <w:rFonts w:ascii="Times New Roman" w:hAnsi="Times New Roman"/>
                <w:sz w:val="24"/>
                <w:szCs w:val="24"/>
              </w:rPr>
            </w:pPr>
            <w:r>
              <w:rPr>
                <w:rFonts w:ascii="Times New Roman" w:hAnsi="Times New Roman"/>
                <w:sz w:val="24"/>
                <w:szCs w:val="24"/>
              </w:rPr>
              <w:t xml:space="preserve">16 </w:t>
            </w:r>
            <w:r w:rsidRPr="00E31328">
              <w:rPr>
                <w:rFonts w:ascii="Times New Roman" w:hAnsi="Times New Roman"/>
                <w:sz w:val="24"/>
                <w:szCs w:val="24"/>
              </w:rPr>
              <w:t>Производство на дървен материал и изделия от дървен материал и корк, без мебели; производство на изделия от слама и материали за плетене</w:t>
            </w:r>
          </w:p>
          <w:p w14:paraId="045B220E" w14:textId="77777777" w:rsidR="003B2BAE" w:rsidRDefault="003B2BAE" w:rsidP="00CD1E69">
            <w:pPr>
              <w:spacing w:line="276" w:lineRule="auto"/>
              <w:jc w:val="both"/>
              <w:rPr>
                <w:rFonts w:ascii="Times New Roman" w:hAnsi="Times New Roman"/>
                <w:sz w:val="24"/>
                <w:szCs w:val="24"/>
              </w:rPr>
            </w:pPr>
            <w:r>
              <w:rPr>
                <w:rFonts w:ascii="Times New Roman" w:hAnsi="Times New Roman"/>
                <w:sz w:val="24"/>
                <w:szCs w:val="24"/>
              </w:rPr>
              <w:t xml:space="preserve">17 </w:t>
            </w:r>
            <w:r w:rsidRPr="003B2BAE">
              <w:rPr>
                <w:rFonts w:ascii="Times New Roman" w:hAnsi="Times New Roman"/>
                <w:sz w:val="24"/>
                <w:szCs w:val="24"/>
              </w:rPr>
              <w:t>Производство на хартия, картон и изделия от хартия и картон</w:t>
            </w:r>
          </w:p>
          <w:p w14:paraId="37361627" w14:textId="77777777" w:rsidR="00EB2E0D" w:rsidRPr="00EB2E0D" w:rsidRDefault="00EB2E0D" w:rsidP="00CD1E69">
            <w:pPr>
              <w:spacing w:line="276" w:lineRule="auto"/>
              <w:jc w:val="both"/>
              <w:rPr>
                <w:rFonts w:ascii="Times New Roman" w:hAnsi="Times New Roman"/>
                <w:sz w:val="24"/>
                <w:szCs w:val="24"/>
              </w:rPr>
            </w:pPr>
            <w:r w:rsidRPr="00E31328">
              <w:rPr>
                <w:rFonts w:ascii="Times New Roman" w:hAnsi="Times New Roman"/>
                <w:sz w:val="24"/>
                <w:szCs w:val="24"/>
              </w:rPr>
              <w:t>18 Печатна дейност и възпроизвеждане на записани носители</w:t>
            </w:r>
          </w:p>
          <w:p w14:paraId="30FCB04F" w14:textId="77777777" w:rsidR="00FE1549" w:rsidRDefault="00FE1549" w:rsidP="00CD1E69">
            <w:pPr>
              <w:spacing w:line="276" w:lineRule="auto"/>
              <w:jc w:val="both"/>
              <w:rPr>
                <w:rFonts w:ascii="Times New Roman" w:hAnsi="Times New Roman"/>
                <w:sz w:val="24"/>
                <w:szCs w:val="24"/>
              </w:rPr>
            </w:pPr>
            <w:r w:rsidRPr="00E31328">
              <w:rPr>
                <w:rFonts w:ascii="Times New Roman" w:hAnsi="Times New Roman"/>
                <w:sz w:val="24"/>
                <w:szCs w:val="24"/>
              </w:rPr>
              <w:t>19 Производство на кокс и рафинирани нефтопродукти</w:t>
            </w:r>
          </w:p>
          <w:p w14:paraId="6EC3E001" w14:textId="77777777" w:rsidR="00F02E63" w:rsidRDefault="00F02E63" w:rsidP="00CD1E69">
            <w:pPr>
              <w:spacing w:line="276" w:lineRule="auto"/>
              <w:jc w:val="both"/>
              <w:rPr>
                <w:rFonts w:ascii="Times New Roman" w:hAnsi="Times New Roman"/>
                <w:sz w:val="24"/>
                <w:szCs w:val="24"/>
              </w:rPr>
            </w:pPr>
            <w:r w:rsidRPr="00F02E63">
              <w:rPr>
                <w:rFonts w:ascii="Times New Roman" w:hAnsi="Times New Roman"/>
                <w:sz w:val="24"/>
                <w:szCs w:val="24"/>
              </w:rPr>
              <w:t>20 Производство на химични продукти</w:t>
            </w:r>
          </w:p>
          <w:p w14:paraId="6B757C73" w14:textId="77777777" w:rsidR="00F02E63" w:rsidRDefault="00F02E63" w:rsidP="00CD1E69">
            <w:pPr>
              <w:spacing w:line="276" w:lineRule="auto"/>
              <w:jc w:val="both"/>
              <w:rPr>
                <w:rFonts w:ascii="Times New Roman" w:hAnsi="Times New Roman"/>
                <w:sz w:val="24"/>
                <w:szCs w:val="24"/>
              </w:rPr>
            </w:pPr>
            <w:r>
              <w:rPr>
                <w:rFonts w:ascii="Times New Roman" w:hAnsi="Times New Roman"/>
                <w:sz w:val="24"/>
                <w:szCs w:val="24"/>
              </w:rPr>
              <w:t xml:space="preserve">30 </w:t>
            </w:r>
            <w:r w:rsidRPr="00F02E63">
              <w:rPr>
                <w:rFonts w:ascii="Times New Roman" w:hAnsi="Times New Roman"/>
                <w:sz w:val="24"/>
                <w:szCs w:val="24"/>
              </w:rPr>
              <w:t>Производство на превозни средства, без автомобили</w:t>
            </w:r>
          </w:p>
          <w:p w14:paraId="15342BCF" w14:textId="77777777" w:rsidR="00C943E6" w:rsidRDefault="00C943E6" w:rsidP="00CD1E69">
            <w:pPr>
              <w:spacing w:line="276" w:lineRule="auto"/>
              <w:jc w:val="both"/>
              <w:rPr>
                <w:rFonts w:ascii="Times New Roman" w:hAnsi="Times New Roman"/>
                <w:sz w:val="24"/>
                <w:szCs w:val="24"/>
              </w:rPr>
            </w:pPr>
            <w:r>
              <w:rPr>
                <w:rFonts w:ascii="Times New Roman" w:hAnsi="Times New Roman"/>
                <w:sz w:val="24"/>
                <w:szCs w:val="24"/>
              </w:rPr>
              <w:t xml:space="preserve">31 </w:t>
            </w:r>
            <w:r w:rsidRPr="00C943E6">
              <w:rPr>
                <w:rFonts w:ascii="Times New Roman" w:hAnsi="Times New Roman"/>
                <w:sz w:val="24"/>
                <w:szCs w:val="24"/>
              </w:rPr>
              <w:t>Производство на мебели</w:t>
            </w:r>
          </w:p>
          <w:p w14:paraId="0D816A8F" w14:textId="77777777" w:rsidR="00C943E6" w:rsidRDefault="00C943E6" w:rsidP="00CD1E69">
            <w:pPr>
              <w:spacing w:line="276" w:lineRule="auto"/>
              <w:jc w:val="both"/>
              <w:rPr>
                <w:rFonts w:ascii="Times New Roman" w:hAnsi="Times New Roman"/>
                <w:sz w:val="24"/>
                <w:szCs w:val="24"/>
              </w:rPr>
            </w:pPr>
            <w:r>
              <w:rPr>
                <w:rFonts w:ascii="Times New Roman" w:hAnsi="Times New Roman"/>
                <w:sz w:val="24"/>
                <w:szCs w:val="24"/>
              </w:rPr>
              <w:t xml:space="preserve">32 </w:t>
            </w:r>
            <w:r w:rsidRPr="00C943E6">
              <w:rPr>
                <w:rFonts w:ascii="Times New Roman" w:hAnsi="Times New Roman"/>
                <w:sz w:val="24"/>
                <w:szCs w:val="24"/>
              </w:rPr>
              <w:t>Производство, некласифицирано другаде</w:t>
            </w:r>
          </w:p>
          <w:p w14:paraId="38E1B8EE" w14:textId="77777777" w:rsidR="002D79B1" w:rsidRPr="004F3826" w:rsidRDefault="0008298C" w:rsidP="000A3476">
            <w:pPr>
              <w:pStyle w:val="ListParagraph"/>
              <w:pBdr>
                <w:top w:val="single" w:sz="4" w:space="1" w:color="auto"/>
                <w:left w:val="single" w:sz="4" w:space="4" w:color="auto"/>
                <w:bottom w:val="single" w:sz="4" w:space="1" w:color="auto"/>
                <w:right w:val="single" w:sz="4" w:space="4" w:color="auto"/>
              </w:pBdr>
              <w:shd w:val="clear" w:color="auto" w:fill="D9D9D9"/>
              <w:spacing w:after="0" w:line="240" w:lineRule="auto"/>
              <w:ind w:left="0"/>
              <w:rPr>
                <w:rFonts w:ascii="Times New Roman" w:hAnsi="Times New Roman"/>
                <w:sz w:val="24"/>
                <w:szCs w:val="24"/>
              </w:rPr>
            </w:pPr>
            <w:r w:rsidRPr="000A3476">
              <w:rPr>
                <w:rFonts w:ascii="Times New Roman" w:hAnsi="Times New Roman"/>
                <w:sz w:val="24"/>
                <w:szCs w:val="24"/>
              </w:rPr>
              <w:t>За целите на настоящата процедура предприятие</w:t>
            </w:r>
            <w:r w:rsidR="006704A6" w:rsidRPr="000A3476">
              <w:rPr>
                <w:rFonts w:ascii="Times New Roman" w:hAnsi="Times New Roman"/>
                <w:sz w:val="24"/>
                <w:szCs w:val="24"/>
              </w:rPr>
              <w:t>то</w:t>
            </w:r>
            <w:r w:rsidRPr="000A3476">
              <w:rPr>
                <w:rFonts w:ascii="Times New Roman" w:hAnsi="Times New Roman"/>
                <w:sz w:val="24"/>
                <w:szCs w:val="24"/>
              </w:rPr>
              <w:t xml:space="preserve"> </w:t>
            </w:r>
            <w:r w:rsidR="006704A6" w:rsidRPr="000A3476">
              <w:rPr>
                <w:rFonts w:ascii="Times New Roman" w:hAnsi="Times New Roman"/>
                <w:sz w:val="24"/>
                <w:szCs w:val="24"/>
              </w:rPr>
              <w:t>следва да е</w:t>
            </w:r>
            <w:r w:rsidRPr="000A3476">
              <w:rPr>
                <w:rFonts w:ascii="Times New Roman" w:hAnsi="Times New Roman"/>
                <w:sz w:val="24"/>
                <w:szCs w:val="24"/>
              </w:rPr>
              <w:t xml:space="preserve"> регистриран</w:t>
            </w:r>
            <w:r w:rsidR="006704A6" w:rsidRPr="000A3476">
              <w:rPr>
                <w:rFonts w:ascii="Times New Roman" w:hAnsi="Times New Roman"/>
                <w:sz w:val="24"/>
                <w:szCs w:val="24"/>
              </w:rPr>
              <w:t>о</w:t>
            </w:r>
            <w:r w:rsidRPr="000A3476">
              <w:rPr>
                <w:rFonts w:ascii="Times New Roman" w:hAnsi="Times New Roman"/>
                <w:sz w:val="24"/>
                <w:szCs w:val="24"/>
              </w:rPr>
              <w:t xml:space="preserve"> по реда на Търговския закон</w:t>
            </w:r>
            <w:r w:rsidR="002D79B1" w:rsidRPr="000A3476">
              <w:rPr>
                <w:rFonts w:ascii="Times New Roman" w:hAnsi="Times New Roman"/>
                <w:sz w:val="24"/>
                <w:szCs w:val="24"/>
              </w:rPr>
              <w:t>.</w:t>
            </w:r>
            <w:r w:rsidR="00487729" w:rsidRPr="000A3476">
              <w:rPr>
                <w:rFonts w:ascii="Times New Roman" w:hAnsi="Times New Roman"/>
                <w:sz w:val="24"/>
                <w:szCs w:val="24"/>
              </w:rPr>
              <w:t xml:space="preserve"> </w:t>
            </w:r>
          </w:p>
          <w:p w14:paraId="46805927" w14:textId="1D854BFE" w:rsidR="00F97A0E" w:rsidRDefault="00F97A0E" w:rsidP="00F97A0E">
            <w:pPr>
              <w:spacing w:before="120" w:after="120" w:line="240" w:lineRule="auto"/>
              <w:jc w:val="both"/>
              <w:rPr>
                <w:rFonts w:ascii="Times New Roman" w:eastAsia="Times New Roman" w:hAnsi="Times New Roman"/>
                <w:b/>
                <w:sz w:val="24"/>
                <w:szCs w:val="24"/>
                <w:lang w:eastAsia="bg-BG"/>
              </w:rPr>
            </w:pPr>
            <w:r w:rsidRPr="00F97A0E">
              <w:rPr>
                <w:rFonts w:ascii="Times New Roman" w:eastAsia="Times New Roman" w:hAnsi="Times New Roman"/>
                <w:b/>
                <w:sz w:val="24"/>
                <w:szCs w:val="24"/>
                <w:lang w:eastAsia="bg-BG"/>
              </w:rPr>
              <w:t>На етап кандидатстване категорията на предприятието се удостоверява чрез попълване на Декларация за минимални/държавни помощи, в която се декларира вида на предприятието (т.7), както и с посочване на категорията във Формуляра за кандидатстване (т.2 Данни за кандидата, „Категория/статус на предприятието“). Документална проверка на декларираната категория ще бъде извършвана от УО преди сключване на административен договор с одобрен кандидат.</w:t>
            </w:r>
          </w:p>
          <w:p w14:paraId="44E90D14" w14:textId="77777777" w:rsidR="00172934" w:rsidRPr="00390DF0" w:rsidRDefault="00172934" w:rsidP="00172934">
            <w:pPr>
              <w:shd w:val="clear" w:color="auto" w:fill="BFBFBF"/>
              <w:spacing w:before="120" w:after="120"/>
              <w:jc w:val="both"/>
              <w:rPr>
                <w:rFonts w:ascii="Times New Roman" w:hAnsi="Times New Roman"/>
                <w:sz w:val="24"/>
                <w:szCs w:val="24"/>
              </w:rPr>
            </w:pPr>
            <w:r w:rsidRPr="00390DF0">
              <w:rPr>
                <w:rFonts w:ascii="Times New Roman" w:hAnsi="Times New Roman"/>
                <w:sz w:val="24"/>
                <w:szCs w:val="24"/>
              </w:rPr>
              <w:t>Преди сключване на административен договор за предоставяне на безвъзмездна финансова помощ с одобрен кандидат, управляващият орган ще извърши документална проверка на декларираната (на етап кандидатстване) от кандидата категория на микро, малко или средно предприятие. В случай че при проверката се констатира, че кандидатът е голямо предприятие, УО ще откаже сключване на договор.</w:t>
            </w:r>
          </w:p>
          <w:p w14:paraId="3BA77EEC" w14:textId="77777777" w:rsidR="00172934" w:rsidRDefault="00172934" w:rsidP="00F97A0E">
            <w:pPr>
              <w:spacing w:before="120" w:after="120" w:line="240" w:lineRule="auto"/>
              <w:jc w:val="both"/>
              <w:rPr>
                <w:rFonts w:ascii="Times New Roman" w:eastAsia="Times New Roman" w:hAnsi="Times New Roman"/>
                <w:b/>
                <w:sz w:val="24"/>
                <w:szCs w:val="24"/>
                <w:lang w:eastAsia="bg-BG"/>
              </w:rPr>
            </w:pPr>
          </w:p>
          <w:p w14:paraId="4E88FA38" w14:textId="3CCCD32F" w:rsidR="000A5EA6" w:rsidRPr="00390DF0" w:rsidRDefault="007A799F" w:rsidP="007A799F">
            <w:pPr>
              <w:pStyle w:val="ListParagraph"/>
              <w:spacing w:after="0" w:line="240" w:lineRule="auto"/>
              <w:ind w:left="0"/>
              <w:jc w:val="both"/>
              <w:rPr>
                <w:rFonts w:ascii="Times New Roman" w:hAnsi="Times New Roman"/>
                <w:sz w:val="24"/>
                <w:szCs w:val="24"/>
              </w:rPr>
            </w:pPr>
            <w:r>
              <w:rPr>
                <w:rFonts w:ascii="Times New Roman" w:eastAsia="Times New Roman" w:hAnsi="Times New Roman"/>
                <w:b/>
                <w:sz w:val="24"/>
                <w:szCs w:val="24"/>
                <w:lang w:eastAsia="bg-BG"/>
              </w:rPr>
              <w:t xml:space="preserve">2. </w:t>
            </w:r>
            <w:r w:rsidR="000A5EA6" w:rsidRPr="00390DF0">
              <w:rPr>
                <w:rFonts w:ascii="Times New Roman" w:hAnsi="Times New Roman"/>
                <w:sz w:val="24"/>
                <w:szCs w:val="24"/>
              </w:rPr>
              <w:t xml:space="preserve">Когато кандидатът е предвидил по проекта дейност  „Осигуряване на безопасни и здравословни условия на труд, подобряване професионалния и здравния статус на работниците и служителите“, е необходимо да е осигурил в предприятията задължителните здравословни и безопасни условия на труд. Това обстоятелство се доказва чрез предоставяне на описаните по т. </w:t>
            </w:r>
            <w:r w:rsidR="000A5EA6" w:rsidRPr="00390DF0">
              <w:rPr>
                <w:rFonts w:ascii="Times New Roman" w:hAnsi="Times New Roman"/>
                <w:sz w:val="24"/>
                <w:szCs w:val="24"/>
                <w:lang w:val="ru-RU"/>
              </w:rPr>
              <w:t>22</w:t>
            </w:r>
            <w:r w:rsidR="000A5EA6" w:rsidRPr="00390DF0">
              <w:rPr>
                <w:rFonts w:ascii="Times New Roman" w:hAnsi="Times New Roman"/>
                <w:sz w:val="24"/>
                <w:szCs w:val="24"/>
              </w:rPr>
              <w:t xml:space="preserve"> документи. </w:t>
            </w:r>
          </w:p>
          <w:p w14:paraId="77F41546" w14:textId="77777777" w:rsidR="008D3897" w:rsidRPr="008F47B0" w:rsidRDefault="008D3897" w:rsidP="00390DF0">
            <w:pPr>
              <w:pStyle w:val="ListParagraph"/>
              <w:spacing w:after="0" w:line="240" w:lineRule="auto"/>
              <w:ind w:left="360"/>
              <w:jc w:val="both"/>
              <w:rPr>
                <w:rFonts w:ascii="Times New Roman" w:hAnsi="Times New Roman"/>
                <w:sz w:val="24"/>
                <w:szCs w:val="24"/>
                <w:lang w:val="ru-RU"/>
              </w:rPr>
            </w:pPr>
          </w:p>
          <w:p w14:paraId="69E123F3" w14:textId="1BEBE5D8" w:rsidR="008D3897" w:rsidRPr="00390DF0" w:rsidRDefault="000A5EA6" w:rsidP="00390DF0">
            <w:pPr>
              <w:pStyle w:val="ListParagraph"/>
              <w:numPr>
                <w:ilvl w:val="0"/>
                <w:numId w:val="46"/>
              </w:numPr>
              <w:spacing w:after="0" w:line="240" w:lineRule="auto"/>
              <w:ind w:left="0" w:firstLine="360"/>
              <w:jc w:val="both"/>
              <w:rPr>
                <w:rFonts w:ascii="Times New Roman" w:hAnsi="Times New Roman"/>
                <w:sz w:val="24"/>
                <w:szCs w:val="24"/>
              </w:rPr>
            </w:pPr>
            <w:r w:rsidRPr="00390DF0">
              <w:rPr>
                <w:rFonts w:ascii="Times New Roman" w:hAnsi="Times New Roman"/>
                <w:sz w:val="24"/>
                <w:szCs w:val="24"/>
              </w:rPr>
              <w:t>Допустими кандидати по дейност  „Придобиване на стандарти за безопасни условия на труд“ са организации с КОД по КИД 2008, съгласно Приложение към Заповед № РД-01-</w:t>
            </w:r>
            <w:r w:rsidR="004964F0">
              <w:rPr>
                <w:rFonts w:ascii="Times New Roman" w:hAnsi="Times New Roman"/>
                <w:color w:val="000000"/>
                <w:sz w:val="24"/>
                <w:szCs w:val="24"/>
              </w:rPr>
              <w:t>672</w:t>
            </w:r>
            <w:r w:rsidRPr="00390DF0">
              <w:rPr>
                <w:rFonts w:ascii="Times New Roman" w:hAnsi="Times New Roman"/>
                <w:color w:val="000000"/>
                <w:sz w:val="24"/>
                <w:szCs w:val="24"/>
              </w:rPr>
              <w:t xml:space="preserve"> от </w:t>
            </w:r>
            <w:r w:rsidR="004964F0">
              <w:rPr>
                <w:rFonts w:ascii="Times New Roman" w:hAnsi="Times New Roman"/>
                <w:color w:val="000000"/>
                <w:sz w:val="24"/>
                <w:szCs w:val="24"/>
              </w:rPr>
              <w:t>22</w:t>
            </w:r>
            <w:r w:rsidR="00D24045" w:rsidRPr="00390DF0">
              <w:rPr>
                <w:rFonts w:ascii="Times New Roman" w:hAnsi="Times New Roman"/>
                <w:color w:val="000000"/>
                <w:sz w:val="24"/>
                <w:szCs w:val="24"/>
              </w:rPr>
              <w:t>.1</w:t>
            </w:r>
            <w:r w:rsidR="004964F0">
              <w:rPr>
                <w:rFonts w:ascii="Times New Roman" w:hAnsi="Times New Roman"/>
                <w:color w:val="000000"/>
                <w:sz w:val="24"/>
                <w:szCs w:val="24"/>
              </w:rPr>
              <w:t>0</w:t>
            </w:r>
            <w:r w:rsidR="00D24045" w:rsidRPr="00390DF0">
              <w:rPr>
                <w:rFonts w:ascii="Times New Roman" w:hAnsi="Times New Roman"/>
                <w:color w:val="000000"/>
                <w:sz w:val="24"/>
                <w:szCs w:val="24"/>
              </w:rPr>
              <w:t>.201</w:t>
            </w:r>
            <w:r w:rsidR="004964F0">
              <w:rPr>
                <w:rFonts w:ascii="Times New Roman" w:hAnsi="Times New Roman"/>
                <w:color w:val="000000"/>
                <w:sz w:val="24"/>
                <w:szCs w:val="24"/>
              </w:rPr>
              <w:t>9</w:t>
            </w:r>
            <w:r w:rsidRPr="00390DF0">
              <w:rPr>
                <w:rFonts w:ascii="Times New Roman" w:hAnsi="Times New Roman"/>
                <w:sz w:val="24"/>
                <w:szCs w:val="24"/>
              </w:rPr>
              <w:t xml:space="preserve"> г. на Министъра на труда и социалната политика /Приложение за информация към Условията за кандидатстване/. Това са организации с коефициент на трудов травматизъм по икономическа дейност равен или по-висок от средния за страната.</w:t>
            </w:r>
          </w:p>
          <w:p w14:paraId="7D2D157D" w14:textId="77777777" w:rsidR="008D3897" w:rsidRPr="00390DF0" w:rsidRDefault="008D3897" w:rsidP="00390DF0">
            <w:pPr>
              <w:pStyle w:val="ListParagraph"/>
              <w:rPr>
                <w:rFonts w:ascii="Times New Roman" w:hAnsi="Times New Roman"/>
                <w:sz w:val="24"/>
                <w:szCs w:val="24"/>
              </w:rPr>
            </w:pPr>
          </w:p>
          <w:p w14:paraId="278B59DC" w14:textId="77777777" w:rsidR="00E70E86" w:rsidRPr="00C81739" w:rsidRDefault="00E70E86" w:rsidP="00E36247">
            <w:pPr>
              <w:pStyle w:val="ListParagraph"/>
              <w:spacing w:before="120" w:after="120" w:line="240" w:lineRule="auto"/>
              <w:ind w:left="0"/>
              <w:contextualSpacing w:val="0"/>
              <w:jc w:val="both"/>
              <w:rPr>
                <w:rFonts w:ascii="Times New Roman" w:eastAsia="Times New Roman" w:hAnsi="Times New Roman"/>
                <w:sz w:val="24"/>
                <w:szCs w:val="24"/>
                <w:lang w:eastAsia="bg-BG"/>
              </w:rPr>
            </w:pPr>
            <w:r w:rsidRPr="00210955">
              <w:rPr>
                <w:rFonts w:ascii="Times New Roman" w:hAnsi="Times New Roman"/>
                <w:i/>
                <w:iCs/>
                <w:sz w:val="23"/>
                <w:szCs w:val="23"/>
              </w:rPr>
              <w:t xml:space="preserve">В т. </w:t>
            </w:r>
            <w:r w:rsidRPr="00210955">
              <w:rPr>
                <w:rFonts w:ascii="Times New Roman" w:hAnsi="Times New Roman"/>
                <w:i/>
                <w:iCs/>
                <w:sz w:val="23"/>
                <w:szCs w:val="23"/>
                <w:lang w:val="ru-RU"/>
              </w:rPr>
              <w:t xml:space="preserve">22 </w:t>
            </w:r>
            <w:r w:rsidRPr="00210955">
              <w:rPr>
                <w:rFonts w:ascii="Times New Roman" w:hAnsi="Times New Roman"/>
                <w:i/>
                <w:iCs/>
                <w:sz w:val="23"/>
                <w:szCs w:val="23"/>
              </w:rPr>
              <w:t>от</w:t>
            </w:r>
            <w:r w:rsidR="00E36247" w:rsidRPr="00210955">
              <w:rPr>
                <w:rFonts w:ascii="Times New Roman" w:hAnsi="Times New Roman"/>
                <w:i/>
                <w:iCs/>
                <w:sz w:val="23"/>
                <w:szCs w:val="23"/>
              </w:rPr>
              <w:t xml:space="preserve"> Условията</w:t>
            </w:r>
            <w:r w:rsidRPr="00210955">
              <w:rPr>
                <w:rFonts w:ascii="Times New Roman" w:hAnsi="Times New Roman"/>
                <w:i/>
                <w:iCs/>
                <w:sz w:val="23"/>
                <w:szCs w:val="23"/>
              </w:rPr>
              <w:t xml:space="preserve"> за кандидатстване с</w:t>
            </w:r>
            <w:r w:rsidR="00E36247" w:rsidRPr="00210955">
              <w:rPr>
                <w:rFonts w:ascii="Times New Roman" w:hAnsi="Times New Roman"/>
                <w:i/>
                <w:iCs/>
                <w:sz w:val="23"/>
                <w:szCs w:val="23"/>
              </w:rPr>
              <w:t>а</w:t>
            </w:r>
            <w:r w:rsidRPr="00210955">
              <w:rPr>
                <w:rFonts w:ascii="Times New Roman" w:hAnsi="Times New Roman"/>
                <w:i/>
                <w:iCs/>
                <w:sz w:val="23"/>
                <w:szCs w:val="23"/>
              </w:rPr>
              <w:t xml:space="preserve"> </w:t>
            </w:r>
            <w:r w:rsidR="00E36247" w:rsidRPr="00210955">
              <w:rPr>
                <w:rFonts w:ascii="Times New Roman" w:hAnsi="Times New Roman"/>
                <w:i/>
                <w:iCs/>
                <w:sz w:val="23"/>
                <w:szCs w:val="23"/>
              </w:rPr>
              <w:t xml:space="preserve">посочени </w:t>
            </w:r>
            <w:r w:rsidRPr="00210955">
              <w:rPr>
                <w:rFonts w:ascii="Times New Roman" w:hAnsi="Times New Roman"/>
                <w:i/>
                <w:iCs/>
                <w:sz w:val="23"/>
                <w:szCs w:val="23"/>
              </w:rPr>
              <w:t>документите, които трябва да се приложат, за да се удостовери допустимостта на кандидата.</w:t>
            </w:r>
          </w:p>
        </w:tc>
      </w:tr>
    </w:tbl>
    <w:p w14:paraId="199FD349" w14:textId="77777777" w:rsidR="009F2C53" w:rsidRPr="00390DF0" w:rsidRDefault="009F2C53" w:rsidP="009F2C53">
      <w:pPr>
        <w:pStyle w:val="Heading1"/>
        <w:rPr>
          <w:lang w:val="bg-BG"/>
        </w:rPr>
      </w:pPr>
      <w:bookmarkStart w:id="17" w:name="_Toc445385579"/>
      <w:bookmarkStart w:id="18" w:name="_Toc445385583"/>
      <w:r w:rsidRPr="007713C1">
        <w:lastRenderedPageBreak/>
        <w:t>12. Допустими партньори (ако е приложимо):</w:t>
      </w:r>
      <w:bookmarkEnd w:id="17"/>
      <w:r w:rsidR="009D3AAC">
        <w:rPr>
          <w:lang w:val="bg-BG"/>
        </w:rPr>
        <w:t xml:space="preserve"> НЕПРИЛОЖИМО</w:t>
      </w:r>
    </w:p>
    <w:p w14:paraId="2379539D" w14:textId="77777777" w:rsidR="009F2C53" w:rsidRPr="007713C1" w:rsidRDefault="009F2C53" w:rsidP="009F2C53">
      <w:pPr>
        <w:pStyle w:val="Heading2"/>
      </w:pPr>
      <w:bookmarkStart w:id="19" w:name="_Toc445385580"/>
      <w:r w:rsidRPr="007713C1">
        <w:t>12.1. Общи изисквания за партньорствата:</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9F2C53" w:rsidRPr="008F724D" w14:paraId="0997F1E7" w14:textId="77777777">
        <w:tc>
          <w:tcPr>
            <w:tcW w:w="9496" w:type="dxa"/>
          </w:tcPr>
          <w:p w14:paraId="00897B71" w14:textId="77777777" w:rsidR="009F2C53" w:rsidRDefault="009F2C53" w:rsidP="008B1E26">
            <w:pPr>
              <w:spacing w:after="0" w:line="240" w:lineRule="auto"/>
              <w:rPr>
                <w:rFonts w:ascii="Times New Roman" w:eastAsia="Times New Roman" w:hAnsi="Times New Roman"/>
                <w:b/>
                <w:sz w:val="24"/>
                <w:szCs w:val="24"/>
                <w:lang w:eastAsia="bg-BG"/>
              </w:rPr>
            </w:pPr>
            <w:r w:rsidRPr="00D55404">
              <w:rPr>
                <w:rFonts w:ascii="Times New Roman" w:eastAsia="Times New Roman" w:hAnsi="Times New Roman"/>
                <w:b/>
                <w:sz w:val="24"/>
                <w:szCs w:val="24"/>
                <w:lang w:eastAsia="bg-BG"/>
              </w:rPr>
              <w:t>По настоящата покана за подаване на проектни предложения, кандидатът участва самостоятелно. Партньорство не е допустимо.</w:t>
            </w:r>
          </w:p>
          <w:p w14:paraId="35514384" w14:textId="77777777" w:rsidR="009B66A2" w:rsidRPr="00D55404" w:rsidRDefault="009B66A2" w:rsidP="008B1E26">
            <w:pPr>
              <w:spacing w:after="0" w:line="240" w:lineRule="auto"/>
              <w:rPr>
                <w:rFonts w:ascii="Times New Roman" w:eastAsia="Times New Roman" w:hAnsi="Times New Roman"/>
                <w:b/>
                <w:sz w:val="24"/>
                <w:szCs w:val="24"/>
                <w:lang w:eastAsia="bg-BG"/>
              </w:rPr>
            </w:pPr>
          </w:p>
        </w:tc>
      </w:tr>
    </w:tbl>
    <w:p w14:paraId="2527ECD2" w14:textId="77777777" w:rsidR="009F2C53" w:rsidRPr="007713C1" w:rsidRDefault="009F2C53" w:rsidP="009F2C53">
      <w:pPr>
        <w:pStyle w:val="Heading2"/>
      </w:pPr>
      <w:bookmarkStart w:id="20" w:name="_Toc445385581"/>
      <w:r w:rsidRPr="007713C1">
        <w:t>12.2. Специфични изисквания за допустимост на партньора/ите: (ако е приложимо за процедурата)</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9F2C53" w:rsidRPr="008F724D" w14:paraId="43A05B21" w14:textId="77777777" w:rsidTr="00567388">
        <w:trPr>
          <w:trHeight w:val="625"/>
        </w:trPr>
        <w:tc>
          <w:tcPr>
            <w:tcW w:w="9496" w:type="dxa"/>
          </w:tcPr>
          <w:p w14:paraId="07B4F179" w14:textId="77777777" w:rsidR="009F2C53" w:rsidRPr="0063757D" w:rsidRDefault="00066971" w:rsidP="008B1E26">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Неприложимо</w:t>
            </w:r>
            <w:r w:rsidR="009B66A2">
              <w:rPr>
                <w:rFonts w:ascii="Times New Roman" w:eastAsia="Times New Roman" w:hAnsi="Times New Roman"/>
                <w:b/>
                <w:sz w:val="24"/>
                <w:szCs w:val="24"/>
                <w:lang w:eastAsia="bg-BG"/>
              </w:rPr>
              <w:t>.</w:t>
            </w:r>
          </w:p>
        </w:tc>
      </w:tr>
    </w:tbl>
    <w:p w14:paraId="79D4CA9A" w14:textId="77777777" w:rsidR="00A75A73" w:rsidRPr="007713C1" w:rsidRDefault="00A75A73" w:rsidP="007570DC">
      <w:pPr>
        <w:pStyle w:val="Heading1"/>
      </w:pPr>
      <w:r w:rsidRPr="007713C1">
        <w:t>13. Дейности, допустими за финансиране:</w:t>
      </w:r>
      <w:bookmarkEnd w:id="18"/>
    </w:p>
    <w:p w14:paraId="736D74B9" w14:textId="77777777" w:rsidR="00326D21" w:rsidRPr="007713C1" w:rsidRDefault="00326D21" w:rsidP="007570DC">
      <w:pPr>
        <w:pStyle w:val="Heading2"/>
      </w:pPr>
      <w:bookmarkStart w:id="21" w:name="_Toc445385584"/>
      <w:r w:rsidRPr="007713C1">
        <w:t xml:space="preserve">13.1. </w:t>
      </w:r>
      <w:r w:rsidR="003C2424" w:rsidRPr="007713C1">
        <w:t>Общи и</w:t>
      </w:r>
      <w:r w:rsidR="00C64ECC" w:rsidRPr="007713C1">
        <w:t xml:space="preserve">зисквания </w:t>
      </w:r>
      <w:r w:rsidR="003C2424" w:rsidRPr="007713C1">
        <w:t>за</w:t>
      </w:r>
      <w:r w:rsidRPr="007713C1">
        <w:t xml:space="preserve"> дейности</w:t>
      </w:r>
      <w:r w:rsidR="00C64ECC" w:rsidRPr="007713C1">
        <w:t>те</w:t>
      </w:r>
      <w:r w:rsidRPr="007713C1">
        <w:t>:</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A75A73" w:rsidRPr="008F724D" w14:paraId="52181451" w14:textId="77777777">
        <w:tc>
          <w:tcPr>
            <w:tcW w:w="9496" w:type="dxa"/>
          </w:tcPr>
          <w:p w14:paraId="4923C3EF" w14:textId="77777777" w:rsidR="001369FC" w:rsidRPr="008F724D" w:rsidRDefault="003E08A5" w:rsidP="00390DF0">
            <w:pPr>
              <w:pStyle w:val="Text1"/>
              <w:spacing w:before="120" w:after="120"/>
              <w:ind w:left="0"/>
              <w:outlineLvl w:val="0"/>
              <w:rPr>
                <w:szCs w:val="24"/>
                <w:lang w:val="bg-BG" w:eastAsia="bg-BG"/>
              </w:rPr>
            </w:pPr>
            <w:bookmarkStart w:id="22" w:name="_Toc445385331"/>
            <w:bookmarkStart w:id="23" w:name="_Toc445385585"/>
            <w:r w:rsidRPr="008F724D">
              <w:rPr>
                <w:b/>
                <w:szCs w:val="24"/>
                <w:lang w:val="bg-BG" w:eastAsia="bg-BG"/>
              </w:rPr>
              <w:t xml:space="preserve">В рамките на всеки проект задължително се изпълняват </w:t>
            </w:r>
            <w:bookmarkStart w:id="24" w:name="_Toc445385334"/>
            <w:bookmarkStart w:id="25" w:name="_Toc445385588"/>
            <w:bookmarkEnd w:id="22"/>
            <w:bookmarkEnd w:id="23"/>
            <w:r w:rsidR="003B59D9">
              <w:rPr>
                <w:szCs w:val="24"/>
                <w:lang w:val="bg-BG" w:eastAsia="bg-BG"/>
              </w:rPr>
              <w:t>д</w:t>
            </w:r>
            <w:r w:rsidR="0094128E" w:rsidRPr="008F724D">
              <w:rPr>
                <w:szCs w:val="24"/>
                <w:lang w:val="bg-BG" w:eastAsia="bg-BG"/>
              </w:rPr>
              <w:t>ейности</w:t>
            </w:r>
            <w:r w:rsidR="00797688" w:rsidRPr="008F724D">
              <w:rPr>
                <w:szCs w:val="24"/>
                <w:lang w:val="bg-BG" w:eastAsia="bg-BG"/>
              </w:rPr>
              <w:t xml:space="preserve"> </w:t>
            </w:r>
            <w:r w:rsidR="001369FC" w:rsidRPr="008F724D">
              <w:rPr>
                <w:rFonts w:eastAsia="Calibri"/>
                <w:snapToGrid/>
                <w:szCs w:val="24"/>
                <w:lang w:val="bg-BG" w:eastAsia="bg-BG"/>
              </w:rPr>
              <w:t>за информация и комуникация</w:t>
            </w:r>
          </w:p>
          <w:p w14:paraId="3F517BC0" w14:textId="77777777" w:rsidR="003E08A5" w:rsidRPr="008F724D" w:rsidRDefault="003E08A5" w:rsidP="008F724D">
            <w:pPr>
              <w:pBdr>
                <w:top w:val="single" w:sz="4" w:space="1" w:color="auto"/>
                <w:left w:val="single" w:sz="4" w:space="4" w:color="auto"/>
                <w:bottom w:val="single" w:sz="4" w:space="1" w:color="auto"/>
                <w:right w:val="single" w:sz="4" w:space="4" w:color="auto"/>
              </w:pBdr>
              <w:shd w:val="clear" w:color="auto" w:fill="C0C0C0"/>
              <w:spacing w:after="0" w:line="240" w:lineRule="auto"/>
              <w:jc w:val="both"/>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Кандидатите не трябва да описват в проектните си предложения</w:t>
            </w:r>
            <w:r w:rsidR="003B59D9" w:rsidRPr="008F724D">
              <w:rPr>
                <w:rFonts w:ascii="Times New Roman" w:eastAsia="Times New Roman" w:hAnsi="Times New Roman"/>
                <w:b/>
                <w:sz w:val="24"/>
                <w:szCs w:val="24"/>
                <w:lang w:eastAsia="bg-BG"/>
              </w:rPr>
              <w:t xml:space="preserve"> дейности</w:t>
            </w:r>
            <w:r w:rsidR="003B59D9">
              <w:rPr>
                <w:rFonts w:ascii="Times New Roman" w:eastAsia="Times New Roman" w:hAnsi="Times New Roman"/>
                <w:b/>
                <w:sz w:val="24"/>
                <w:szCs w:val="24"/>
                <w:lang w:eastAsia="bg-BG"/>
              </w:rPr>
              <w:t xml:space="preserve"> за информация и комуникация, както и организация и управление</w:t>
            </w:r>
            <w:r w:rsidRPr="008F724D">
              <w:rPr>
                <w:rFonts w:ascii="Times New Roman" w:eastAsia="Times New Roman" w:hAnsi="Times New Roman"/>
                <w:b/>
                <w:sz w:val="24"/>
                <w:szCs w:val="24"/>
                <w:lang w:eastAsia="bg-BG"/>
              </w:rPr>
              <w:t xml:space="preserve">, наред с преките дейности по проекта, </w:t>
            </w:r>
            <w:r w:rsidR="00DA668B">
              <w:rPr>
                <w:rFonts w:ascii="Times New Roman" w:eastAsia="Times New Roman" w:hAnsi="Times New Roman"/>
                <w:b/>
                <w:sz w:val="24"/>
                <w:szCs w:val="24"/>
                <w:lang w:eastAsia="bg-BG"/>
              </w:rPr>
              <w:t>а с подписването на формуляра за кандидатстване се задължават да ги изпълняват!</w:t>
            </w:r>
          </w:p>
          <w:p w14:paraId="340556E8" w14:textId="77777777" w:rsidR="003E08A5" w:rsidRPr="008F724D" w:rsidRDefault="003E08A5" w:rsidP="008F724D">
            <w:pPr>
              <w:pStyle w:val="Text1"/>
              <w:spacing w:before="120" w:after="120"/>
              <w:ind w:left="360"/>
              <w:outlineLvl w:val="0"/>
              <w:rPr>
                <w:szCs w:val="24"/>
                <w:lang w:val="bg-BG" w:eastAsia="bg-BG"/>
              </w:rPr>
            </w:pPr>
          </w:p>
          <w:p w14:paraId="4BE3DA2C" w14:textId="77777777" w:rsidR="003F2FD2" w:rsidRPr="003F2FD2" w:rsidRDefault="001369FC" w:rsidP="003F2FD2">
            <w:pPr>
              <w:pStyle w:val="ListParagraph"/>
              <w:spacing w:before="120" w:after="120" w:line="240" w:lineRule="auto"/>
              <w:ind w:left="0"/>
              <w:contextualSpacing w:val="0"/>
              <w:jc w:val="both"/>
              <w:rPr>
                <w:rFonts w:ascii="Times New Roman" w:hAnsi="Times New Roman"/>
                <w:snapToGrid w:val="0"/>
                <w:sz w:val="24"/>
                <w:szCs w:val="24"/>
                <w:lang w:eastAsia="bg-BG"/>
              </w:rPr>
            </w:pPr>
            <w:bookmarkStart w:id="26" w:name="_Toc459035319"/>
            <w:bookmarkStart w:id="27" w:name="_Toc459037101"/>
            <w:r w:rsidRPr="008F724D">
              <w:rPr>
                <w:rFonts w:ascii="Times New Roman" w:hAnsi="Times New Roman"/>
                <w:snapToGrid w:val="0"/>
                <w:sz w:val="24"/>
                <w:szCs w:val="24"/>
                <w:lang w:eastAsia="bg-BG"/>
              </w:rPr>
              <w:t xml:space="preserve">Дейностите за информация и комуникация трябва да отговарят на условията и изискванията описани в </w:t>
            </w:r>
            <w:r w:rsidRPr="008F724D">
              <w:rPr>
                <w:rFonts w:ascii="Times New Roman" w:hAnsi="Times New Roman"/>
                <w:snapToGrid w:val="0"/>
                <w:color w:val="0070C0"/>
                <w:sz w:val="24"/>
                <w:szCs w:val="24"/>
                <w:lang w:eastAsia="bg-BG"/>
              </w:rPr>
              <w:t>Единен наръчник на бенефициента за прилагане на правилата за информация и комуникация 2014-2020 г.</w:t>
            </w:r>
            <w:r w:rsidRPr="008F724D">
              <w:rPr>
                <w:rFonts w:ascii="Times New Roman" w:hAnsi="Times New Roman"/>
                <w:snapToGrid w:val="0"/>
                <w:sz w:val="24"/>
                <w:szCs w:val="24"/>
                <w:lang w:eastAsia="bg-BG"/>
              </w:rPr>
              <w:t xml:space="preserve">, </w:t>
            </w:r>
            <w:r w:rsidR="003F2FD2" w:rsidRPr="003F2FD2">
              <w:rPr>
                <w:rFonts w:ascii="Times New Roman" w:hAnsi="Times New Roman"/>
                <w:snapToGrid w:val="0"/>
                <w:sz w:val="24"/>
                <w:szCs w:val="24"/>
                <w:lang w:eastAsia="bg-BG"/>
              </w:rPr>
              <w:t>публикуван на интернет страницата на УО www.esf.bg, раздел „Информация“ подраздел „Стратегически документи“.</w:t>
            </w:r>
          </w:p>
          <w:bookmarkEnd w:id="24"/>
          <w:bookmarkEnd w:id="25"/>
          <w:bookmarkEnd w:id="26"/>
          <w:bookmarkEnd w:id="27"/>
          <w:p w14:paraId="7F35A64B" w14:textId="77777777" w:rsidR="0094128E" w:rsidRDefault="0094128E" w:rsidP="008F724D">
            <w:pPr>
              <w:pStyle w:val="ListParagraph"/>
              <w:spacing w:before="120" w:after="120" w:line="240" w:lineRule="auto"/>
              <w:ind w:left="0"/>
              <w:contextualSpacing w:val="0"/>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4839830E" w14:textId="77777777" w:rsidR="001163BC" w:rsidRDefault="001163BC" w:rsidP="008F724D">
            <w:pPr>
              <w:pStyle w:val="ListParagraph"/>
              <w:spacing w:before="120" w:after="120" w:line="240" w:lineRule="auto"/>
              <w:ind w:left="0"/>
              <w:contextualSpacing w:val="0"/>
              <w:jc w:val="both"/>
              <w:rPr>
                <w:rFonts w:ascii="Times New Roman" w:eastAsia="Times New Roman" w:hAnsi="Times New Roman"/>
                <w:b/>
                <w:sz w:val="24"/>
                <w:szCs w:val="24"/>
                <w:lang w:eastAsia="bg-BG"/>
              </w:rPr>
            </w:pPr>
            <w:r w:rsidRPr="001163BC">
              <w:rPr>
                <w:rFonts w:ascii="Times New Roman" w:eastAsia="Times New Roman" w:hAnsi="Times New Roman"/>
                <w:b/>
                <w:sz w:val="24"/>
                <w:szCs w:val="24"/>
                <w:lang w:eastAsia="bg-BG"/>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p w14:paraId="61659B02" w14:textId="77777777" w:rsidR="006F70D7" w:rsidRDefault="006F70D7" w:rsidP="008F724D">
            <w:pPr>
              <w:pStyle w:val="ListParagraph"/>
              <w:spacing w:before="120" w:after="120" w:line="240" w:lineRule="auto"/>
              <w:ind w:left="0"/>
              <w:contextualSpacing w:val="0"/>
              <w:jc w:val="both"/>
              <w:rPr>
                <w:rFonts w:ascii="Times New Roman" w:eastAsia="Times New Roman" w:hAnsi="Times New Roman"/>
                <w:b/>
                <w:sz w:val="24"/>
                <w:szCs w:val="24"/>
                <w:lang w:eastAsia="bg-BG"/>
              </w:rPr>
            </w:pPr>
            <w:r w:rsidRPr="006F70D7">
              <w:rPr>
                <w:rFonts w:ascii="Times New Roman" w:eastAsia="Times New Roman" w:hAnsi="Times New Roman"/>
                <w:b/>
                <w:sz w:val="24"/>
                <w:szCs w:val="24"/>
                <w:lang w:eastAsia="bg-BG"/>
              </w:rPr>
              <w:t xml:space="preserve">По процедурата ще бъдат насърчавани проекти, подкрепящи мерки за подкрепа на лица над 54 годишна възраст и на хора с увреждания, мерки за насърчаване развитието в областта на политиката по околната среда, политиката по изменение на климата, ресурсна ефективност, </w:t>
            </w:r>
            <w:r w:rsidRPr="006F70D7">
              <w:rPr>
                <w:rFonts w:ascii="Times New Roman" w:eastAsia="Times New Roman" w:hAnsi="Times New Roman"/>
                <w:b/>
                <w:sz w:val="24"/>
                <w:szCs w:val="24"/>
                <w:lang w:val="en-US" w:eastAsia="bg-BG"/>
              </w:rPr>
              <w:t xml:space="preserve"> </w:t>
            </w:r>
            <w:r w:rsidRPr="006F70D7">
              <w:rPr>
                <w:rFonts w:ascii="Times New Roman" w:eastAsia="Times New Roman" w:hAnsi="Times New Roman"/>
                <w:b/>
                <w:sz w:val="24"/>
                <w:szCs w:val="24"/>
                <w:lang w:eastAsia="bg-BG"/>
              </w:rPr>
              <w:t>вкл. прилагане на изискванията на законодотелството на ЕС и националното законодотелство в тези области.</w:t>
            </w:r>
          </w:p>
          <w:p w14:paraId="11F87D49" w14:textId="77777777" w:rsidR="00BB55A6" w:rsidRPr="004058DB" w:rsidRDefault="003F2FD2" w:rsidP="00D16422">
            <w:pPr>
              <w:pStyle w:val="ListParagraph"/>
              <w:spacing w:before="120" w:after="120" w:line="240" w:lineRule="auto"/>
              <w:ind w:left="0"/>
              <w:contextualSpacing w:val="0"/>
              <w:jc w:val="both"/>
              <w:rPr>
                <w:rFonts w:ascii="Times New Roman" w:hAnsi="Times New Roman"/>
                <w:b/>
                <w:sz w:val="24"/>
                <w:szCs w:val="24"/>
              </w:rPr>
            </w:pPr>
            <w:r>
              <w:rPr>
                <w:rFonts w:ascii="Times New Roman" w:hAnsi="Times New Roman"/>
                <w:sz w:val="24"/>
                <w:szCs w:val="24"/>
              </w:rPr>
              <w:t>П</w:t>
            </w:r>
            <w:r w:rsidR="00BB55A6" w:rsidRPr="004058DB">
              <w:rPr>
                <w:rFonts w:ascii="Times New Roman" w:hAnsi="Times New Roman"/>
                <w:sz w:val="24"/>
                <w:szCs w:val="24"/>
              </w:rPr>
              <w:t xml:space="preserve">о процедурата е допустимо извършването на текущ и основен ремонт, съгласно </w:t>
            </w:r>
            <w:r w:rsidR="002912C3" w:rsidRPr="004058DB">
              <w:rPr>
                <w:rFonts w:ascii="Times New Roman" w:hAnsi="Times New Roman"/>
                <w:sz w:val="24"/>
                <w:szCs w:val="24"/>
              </w:rPr>
              <w:t>§</w:t>
            </w:r>
            <w:r w:rsidR="00BB55A6" w:rsidRPr="004058DB">
              <w:rPr>
                <w:rFonts w:ascii="Times New Roman" w:hAnsi="Times New Roman"/>
                <w:sz w:val="24"/>
                <w:szCs w:val="24"/>
                <w:lang w:val="ru-RU"/>
              </w:rPr>
              <w:t>5</w:t>
            </w:r>
            <w:r w:rsidR="00BB55A6" w:rsidRPr="004058DB">
              <w:rPr>
                <w:rFonts w:ascii="Times New Roman" w:hAnsi="Times New Roman"/>
                <w:sz w:val="24"/>
                <w:szCs w:val="24"/>
              </w:rPr>
              <w:t xml:space="preserve">, т.42 и т.43 от Допълнителните разпоредби на ЗУТ. </w:t>
            </w:r>
            <w:r w:rsidR="00C87992" w:rsidRPr="004058DB">
              <w:rPr>
                <w:rFonts w:ascii="Times New Roman" w:hAnsi="Times New Roman"/>
                <w:sz w:val="24"/>
                <w:szCs w:val="24"/>
              </w:rPr>
              <w:t xml:space="preserve"> Р</w:t>
            </w:r>
            <w:r w:rsidR="00BB55A6" w:rsidRPr="004058DB">
              <w:rPr>
                <w:rFonts w:ascii="Times New Roman" w:hAnsi="Times New Roman"/>
                <w:sz w:val="24"/>
                <w:szCs w:val="24"/>
              </w:rPr>
              <w:t xml:space="preserve">емонт </w:t>
            </w:r>
            <w:r w:rsidR="00C87992" w:rsidRPr="004058DB">
              <w:rPr>
                <w:rFonts w:ascii="Times New Roman" w:hAnsi="Times New Roman"/>
                <w:sz w:val="24"/>
                <w:szCs w:val="24"/>
              </w:rPr>
              <w:t xml:space="preserve">в т.ч. основен </w:t>
            </w:r>
            <w:r w:rsidR="00BB55A6" w:rsidRPr="004058DB">
              <w:rPr>
                <w:rFonts w:ascii="Times New Roman" w:hAnsi="Times New Roman"/>
                <w:sz w:val="24"/>
                <w:szCs w:val="24"/>
              </w:rPr>
              <w:t xml:space="preserve">е допустим при реализиране на дейност </w:t>
            </w:r>
            <w:r w:rsidR="00BB55A6" w:rsidRPr="004058DB">
              <w:rPr>
                <w:rFonts w:ascii="Times New Roman" w:hAnsi="Times New Roman"/>
                <w:b/>
                <w:sz w:val="24"/>
                <w:szCs w:val="24"/>
              </w:rPr>
              <w:t>„Осигуряване на колективни предпазни средства, включително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w:t>
            </w:r>
            <w:r w:rsidR="00BB55A6" w:rsidRPr="004058DB">
              <w:rPr>
                <w:rFonts w:ascii="Times New Roman" w:hAnsi="Times New Roman"/>
                <w:sz w:val="24"/>
                <w:szCs w:val="24"/>
              </w:rPr>
              <w:t xml:space="preserve"> и дейност </w:t>
            </w:r>
            <w:r w:rsidR="00BB55A6" w:rsidRPr="004058DB">
              <w:rPr>
                <w:rFonts w:ascii="Times New Roman" w:hAnsi="Times New Roman"/>
                <w:b/>
                <w:sz w:val="24"/>
                <w:szCs w:val="24"/>
              </w:rPr>
              <w:t xml:space="preserve">„Осигуряване на социални придобивки за </w:t>
            </w:r>
            <w:r w:rsidR="00BB55A6" w:rsidRPr="004058DB">
              <w:rPr>
                <w:rFonts w:ascii="Times New Roman" w:hAnsi="Times New Roman"/>
                <w:b/>
                <w:sz w:val="24"/>
                <w:szCs w:val="24"/>
              </w:rPr>
              <w:lastRenderedPageBreak/>
              <w:t>работещите, включително ремонт и оборудване на места за отдих, хранене и почивка в предприятията, спортни съоръжения и др</w:t>
            </w:r>
            <w:r w:rsidR="007F3510" w:rsidRPr="004058DB">
              <w:rPr>
                <w:rFonts w:ascii="Times New Roman" w:hAnsi="Times New Roman"/>
                <w:b/>
                <w:sz w:val="24"/>
                <w:szCs w:val="24"/>
              </w:rPr>
              <w:t>.</w:t>
            </w:r>
            <w:r w:rsidR="00BB55A6" w:rsidRPr="004058DB">
              <w:rPr>
                <w:rFonts w:ascii="Times New Roman" w:hAnsi="Times New Roman"/>
                <w:b/>
                <w:sz w:val="24"/>
                <w:szCs w:val="24"/>
              </w:rPr>
              <w:t>”</w:t>
            </w:r>
            <w:r w:rsidR="007F3510" w:rsidRPr="004058DB">
              <w:rPr>
                <w:rFonts w:ascii="Times New Roman" w:hAnsi="Times New Roman"/>
                <w:sz w:val="24"/>
                <w:szCs w:val="24"/>
              </w:rPr>
              <w:t xml:space="preserve"> </w:t>
            </w:r>
          </w:p>
          <w:p w14:paraId="04EB2008" w14:textId="77777777" w:rsidR="00C10DFF" w:rsidRDefault="00723410" w:rsidP="00C10DFF">
            <w:pPr>
              <w:pStyle w:val="ListParagraph"/>
              <w:spacing w:before="120" w:after="120" w:line="240" w:lineRule="auto"/>
              <w:ind w:left="0"/>
              <w:contextualSpacing w:val="0"/>
              <w:jc w:val="both"/>
              <w:rPr>
                <w:rFonts w:ascii="Times New Roman" w:eastAsia="Times New Roman" w:hAnsi="Times New Roman"/>
                <w:sz w:val="24"/>
                <w:szCs w:val="24"/>
                <w:lang w:eastAsia="bg-BG"/>
              </w:rPr>
            </w:pPr>
            <w:r w:rsidRPr="00925FBB">
              <w:rPr>
                <w:rFonts w:ascii="Times New Roman" w:eastAsia="Times New Roman" w:hAnsi="Times New Roman"/>
                <w:sz w:val="24"/>
                <w:szCs w:val="24"/>
                <w:lang w:eastAsia="bg-BG"/>
              </w:rPr>
              <w:t xml:space="preserve">В случай че за осъществяването на конкретна дейност, </w:t>
            </w:r>
            <w:r w:rsidR="00C87992">
              <w:rPr>
                <w:rFonts w:ascii="Times New Roman" w:eastAsia="Times New Roman" w:hAnsi="Times New Roman"/>
                <w:sz w:val="24"/>
                <w:szCs w:val="24"/>
                <w:lang w:eastAsia="bg-BG"/>
              </w:rPr>
              <w:t xml:space="preserve">кандидатът </w:t>
            </w:r>
            <w:r w:rsidRPr="00925FBB">
              <w:rPr>
                <w:rFonts w:ascii="Times New Roman" w:eastAsia="Times New Roman" w:hAnsi="Times New Roman"/>
                <w:sz w:val="24"/>
                <w:szCs w:val="24"/>
                <w:lang w:eastAsia="bg-BG"/>
              </w:rPr>
              <w:t>е предвидил да извършва ремонтни дейности</w:t>
            </w:r>
            <w:r w:rsidR="00D01EC3">
              <w:rPr>
                <w:rFonts w:ascii="Times New Roman" w:eastAsia="Times New Roman" w:hAnsi="Times New Roman"/>
                <w:sz w:val="24"/>
                <w:szCs w:val="24"/>
                <w:lang w:eastAsia="bg-BG"/>
              </w:rPr>
              <w:t xml:space="preserve"> </w:t>
            </w:r>
            <w:r w:rsidRPr="00925FBB">
              <w:rPr>
                <w:rFonts w:ascii="Times New Roman" w:eastAsia="Times New Roman" w:hAnsi="Times New Roman"/>
                <w:sz w:val="24"/>
                <w:szCs w:val="24"/>
                <w:lang w:eastAsia="bg-BG"/>
              </w:rPr>
              <w:t>/</w:t>
            </w:r>
            <w:r w:rsidR="00C87992">
              <w:rPr>
                <w:rFonts w:ascii="Times New Roman" w:eastAsia="Times New Roman" w:hAnsi="Times New Roman"/>
                <w:sz w:val="24"/>
                <w:szCs w:val="24"/>
                <w:lang w:eastAsia="bg-BG"/>
              </w:rPr>
              <w:t>когато е допустимо</w:t>
            </w:r>
            <w:r w:rsidRPr="00925FBB">
              <w:rPr>
                <w:rFonts w:ascii="Times New Roman" w:eastAsia="Times New Roman" w:hAnsi="Times New Roman"/>
                <w:sz w:val="24"/>
                <w:szCs w:val="24"/>
                <w:lang w:eastAsia="bg-BG"/>
              </w:rPr>
              <w:t xml:space="preserve">/, е необходимо кандидатът да разполага със собствено помещение </w:t>
            </w:r>
            <w:r w:rsidR="00ED7E69">
              <w:rPr>
                <w:rFonts w:ascii="Times New Roman" w:eastAsia="Times New Roman" w:hAnsi="Times New Roman"/>
                <w:sz w:val="24"/>
                <w:szCs w:val="24"/>
                <w:lang w:eastAsia="bg-BG"/>
              </w:rPr>
              <w:t>и</w:t>
            </w:r>
            <w:r w:rsidRPr="00925FBB">
              <w:rPr>
                <w:rFonts w:ascii="Times New Roman" w:eastAsia="Times New Roman" w:hAnsi="Times New Roman"/>
                <w:sz w:val="24"/>
                <w:szCs w:val="24"/>
                <w:lang w:eastAsia="bg-BG"/>
              </w:rPr>
              <w:t xml:space="preserve">ли да има договор за наем на помещението, в което се предвижда да се извърши ремонт. </w:t>
            </w:r>
            <w:r w:rsidR="00C10DFF" w:rsidRPr="00C10DFF">
              <w:rPr>
                <w:rFonts w:ascii="Times New Roman" w:eastAsia="Times New Roman" w:hAnsi="Times New Roman"/>
                <w:sz w:val="24"/>
                <w:szCs w:val="24"/>
                <w:lang w:eastAsia="bg-BG"/>
              </w:rPr>
              <w:t xml:space="preserve">След приключване на проекта бенефициентът е длъжен да запази предназначението на ремонтираните помещения за срок не по-кратък от 3 години от датата на одобрение на окончателния доклад без прекъсване, с изключение на непредвидени обстоятелства. В случай на възникване на непредвидени обстоятелства срокът спира и продължава да тече след отпадането им. </w:t>
            </w:r>
          </w:p>
          <w:p w14:paraId="4B388376" w14:textId="77777777" w:rsidR="00723410" w:rsidRPr="00723410" w:rsidRDefault="007F3510" w:rsidP="00C10DFF">
            <w:pPr>
              <w:pStyle w:val="ListParagraph"/>
              <w:spacing w:before="120" w:after="120" w:line="240" w:lineRule="auto"/>
              <w:ind w:left="0"/>
              <w:contextualSpacing w:val="0"/>
              <w:jc w:val="both"/>
              <w:rPr>
                <w:rFonts w:ascii="Times New Roman" w:eastAsia="Times New Roman" w:hAnsi="Times New Roman"/>
                <w:b/>
                <w:sz w:val="24"/>
                <w:szCs w:val="24"/>
                <w:lang w:eastAsia="bg-BG"/>
              </w:rPr>
            </w:pPr>
            <w:r w:rsidRPr="007F3510">
              <w:rPr>
                <w:rFonts w:ascii="Times New Roman" w:eastAsia="Times New Roman" w:hAnsi="Times New Roman"/>
                <w:sz w:val="24"/>
                <w:szCs w:val="24"/>
                <w:lang w:eastAsia="bg-BG"/>
              </w:rPr>
              <w:t>Аргументацията за ремонта се записва в описанието на конкретната дейност във Формуляра за кандидатстване и следва да съдържа: вид на ремонта, описание и размер на помещението и др. Липсата на обща аргументация за вида и необходимостта от ремонт е основание за неговото отстраняване от проектното предложение и заличаване на съответните разходи от бюджета, в случай на одобрение на проектното предложение. Обосноваността на допустимите за конкретната дейност разходи за ремонт ще се проследи на етап изпълнение.</w:t>
            </w:r>
          </w:p>
        </w:tc>
      </w:tr>
    </w:tbl>
    <w:p w14:paraId="00D04816" w14:textId="77777777" w:rsidR="003C2424" w:rsidRPr="007713C1" w:rsidRDefault="00326D21" w:rsidP="007570DC">
      <w:pPr>
        <w:pStyle w:val="Heading2"/>
      </w:pPr>
      <w:bookmarkStart w:id="28" w:name="_Toc445385589"/>
      <w:r w:rsidRPr="007713C1">
        <w:lastRenderedPageBreak/>
        <w:t xml:space="preserve">13.2. </w:t>
      </w:r>
      <w:r w:rsidR="003C2424" w:rsidRPr="007713C1">
        <w:t>Допустими дейности:</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3C2424" w:rsidRPr="008F724D" w14:paraId="08BAD2C3" w14:textId="77777777">
        <w:tc>
          <w:tcPr>
            <w:tcW w:w="9496" w:type="dxa"/>
          </w:tcPr>
          <w:p w14:paraId="516A339B" w14:textId="77777777" w:rsidR="00017C8A" w:rsidRDefault="005D6FA7" w:rsidP="00F06E97">
            <w:pPr>
              <w:tabs>
                <w:tab w:val="left" w:pos="248"/>
              </w:tabs>
              <w:spacing w:line="276"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w:t>
            </w:r>
            <w:r w:rsidR="00017C8A" w:rsidRPr="00017C8A">
              <w:rPr>
                <w:rFonts w:ascii="Times New Roman" w:eastAsia="Times New Roman" w:hAnsi="Times New Roman"/>
                <w:b/>
                <w:sz w:val="24"/>
                <w:szCs w:val="24"/>
                <w:lang w:eastAsia="bg-BG"/>
              </w:rPr>
              <w:t>о настоящата процедура за предоставяне на безвъзмездна финансова помощ са допустими за финансиране следните дейности:</w:t>
            </w:r>
          </w:p>
          <w:p w14:paraId="724AA350" w14:textId="77777777" w:rsidR="00F06E97" w:rsidRPr="004058DB" w:rsidRDefault="00017C8A" w:rsidP="00F06E97">
            <w:pPr>
              <w:tabs>
                <w:tab w:val="left" w:pos="248"/>
              </w:tabs>
              <w:spacing w:line="276" w:lineRule="auto"/>
              <w:jc w:val="both"/>
              <w:rPr>
                <w:rFonts w:ascii="Times New Roman" w:hAnsi="Times New Roman"/>
                <w:sz w:val="24"/>
                <w:szCs w:val="24"/>
              </w:rPr>
            </w:pPr>
            <w:r w:rsidRPr="004058DB">
              <w:rPr>
                <w:rFonts w:ascii="Times New Roman" w:hAnsi="Times New Roman"/>
                <w:b/>
                <w:sz w:val="24"/>
                <w:szCs w:val="24"/>
              </w:rPr>
              <w:t>1</w:t>
            </w:r>
            <w:r w:rsidR="00F06E97" w:rsidRPr="004058DB">
              <w:rPr>
                <w:rFonts w:ascii="Times New Roman" w:hAnsi="Times New Roman"/>
                <w:sz w:val="24"/>
                <w:szCs w:val="24"/>
              </w:rPr>
              <w:t xml:space="preserve">. </w:t>
            </w:r>
            <w:r w:rsidR="00F06E97" w:rsidRPr="004058DB">
              <w:rPr>
                <w:rFonts w:ascii="Times New Roman" w:hAnsi="Times New Roman"/>
                <w:b/>
                <w:sz w:val="24"/>
                <w:szCs w:val="24"/>
              </w:rPr>
              <w:t>Разработване, адаптиране и въвеждане на системи за развитие на човешките ресурси в предприятията, вкл. възможности за гъвкави форми на заетост с цел оптимизация на работните процеси, с акцент върху практиките за по-лесното съвместяване на професионалния, семейния и личния живот, както и удължаване трудовия живот на по-възрастните работници и служители</w:t>
            </w:r>
            <w:r w:rsidR="00F06E97" w:rsidRPr="004058DB">
              <w:rPr>
                <w:rFonts w:ascii="Times New Roman" w:hAnsi="Times New Roman"/>
                <w:sz w:val="24"/>
                <w:szCs w:val="24"/>
              </w:rPr>
              <w:t>. Въвеждане на иновативни модели за организация на труда в предприятията, насочени към повишаване на производителността и опазване на околната среда.</w:t>
            </w:r>
          </w:p>
          <w:p w14:paraId="34682FD8" w14:textId="77777777" w:rsidR="0094128E" w:rsidRDefault="00F06E97" w:rsidP="008F724D">
            <w:pPr>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Дейността е насочена към оптимизация на управлението и развитието на човешките ресурси. Необходимостта от промени в наличните системи за развитие на човешките ресурси следва да са обвързани със стратегията за развитие на предприятието и да се основават на свързана с нея потребност от организационни промени от различен характер. </w:t>
            </w:r>
          </w:p>
          <w:p w14:paraId="1C004E02" w14:textId="77777777" w:rsidR="005D4511" w:rsidRPr="004058DB" w:rsidRDefault="00F06E97" w:rsidP="008F724D">
            <w:pPr>
              <w:spacing w:before="120" w:after="120" w:line="240" w:lineRule="auto"/>
              <w:jc w:val="both"/>
              <w:rPr>
                <w:rFonts w:ascii="Times New Roman" w:eastAsia="Times New Roman" w:hAnsi="Times New Roman"/>
                <w:b/>
                <w:color w:val="FFCC00"/>
                <w:sz w:val="24"/>
                <w:szCs w:val="24"/>
                <w:lang w:eastAsia="bg-BG"/>
              </w:rPr>
            </w:pPr>
            <w:r w:rsidRPr="00350691">
              <w:rPr>
                <w:rFonts w:ascii="Times New Roman" w:eastAsia="Times New Roman" w:hAnsi="Times New Roman"/>
                <w:b/>
                <w:sz w:val="24"/>
                <w:szCs w:val="24"/>
                <w:lang w:eastAsia="bg-BG"/>
              </w:rPr>
              <w:t>Кандидад</w:t>
            </w:r>
            <w:r w:rsidR="00267777">
              <w:rPr>
                <w:rFonts w:ascii="Times New Roman" w:eastAsia="Times New Roman" w:hAnsi="Times New Roman"/>
                <w:b/>
                <w:sz w:val="24"/>
                <w:szCs w:val="24"/>
                <w:lang w:eastAsia="bg-BG"/>
              </w:rPr>
              <w:t>ът</w:t>
            </w:r>
            <w:r w:rsidRPr="00350691">
              <w:rPr>
                <w:rFonts w:ascii="Times New Roman" w:eastAsia="Times New Roman" w:hAnsi="Times New Roman"/>
                <w:b/>
                <w:sz w:val="24"/>
                <w:szCs w:val="24"/>
                <w:lang w:eastAsia="bg-BG"/>
              </w:rPr>
              <w:t xml:space="preserve"> следва да им</w:t>
            </w:r>
            <w:r w:rsidR="005D4511">
              <w:rPr>
                <w:rFonts w:ascii="Times New Roman" w:eastAsia="Times New Roman" w:hAnsi="Times New Roman"/>
                <w:b/>
                <w:sz w:val="24"/>
                <w:szCs w:val="24"/>
                <w:lang w:eastAsia="bg-BG"/>
              </w:rPr>
              <w:t>а</w:t>
            </w:r>
            <w:r w:rsidRPr="00350691">
              <w:rPr>
                <w:rFonts w:ascii="Times New Roman" w:eastAsia="Times New Roman" w:hAnsi="Times New Roman"/>
                <w:b/>
                <w:sz w:val="24"/>
                <w:szCs w:val="24"/>
                <w:lang w:eastAsia="bg-BG"/>
              </w:rPr>
              <w:t xml:space="preserve"> предвид, че като задължителни в дейността следва да се включат следните елементи</w:t>
            </w:r>
            <w:r w:rsidR="005D4511">
              <w:rPr>
                <w:rFonts w:ascii="Times New Roman" w:eastAsia="Times New Roman" w:hAnsi="Times New Roman"/>
                <w:b/>
                <w:sz w:val="24"/>
                <w:szCs w:val="24"/>
                <w:lang w:eastAsia="bg-BG"/>
              </w:rPr>
              <w:t>:</w:t>
            </w:r>
            <w:r w:rsidRPr="00350691">
              <w:rPr>
                <w:rFonts w:ascii="Times New Roman" w:eastAsia="Times New Roman" w:hAnsi="Times New Roman"/>
                <w:b/>
                <w:sz w:val="24"/>
                <w:szCs w:val="24"/>
                <w:lang w:eastAsia="bg-BG"/>
              </w:rPr>
              <w:t xml:space="preserve"> </w:t>
            </w:r>
          </w:p>
          <w:p w14:paraId="52BD62B7" w14:textId="77777777" w:rsidR="00EF2792" w:rsidRPr="00350691" w:rsidRDefault="00F06E97" w:rsidP="00F06E97">
            <w:pPr>
              <w:spacing w:before="120" w:after="120" w:line="240" w:lineRule="auto"/>
              <w:jc w:val="both"/>
              <w:rPr>
                <w:rFonts w:ascii="Times New Roman" w:eastAsia="Times New Roman" w:hAnsi="Times New Roman"/>
                <w:b/>
                <w:sz w:val="24"/>
                <w:szCs w:val="24"/>
                <w:lang w:eastAsia="bg-BG"/>
              </w:rPr>
            </w:pPr>
            <w:r w:rsidRPr="00350691">
              <w:rPr>
                <w:rFonts w:ascii="Times New Roman" w:eastAsia="Times New Roman" w:hAnsi="Times New Roman"/>
                <w:b/>
                <w:sz w:val="24"/>
                <w:szCs w:val="24"/>
                <w:lang w:eastAsia="bg-BG"/>
              </w:rPr>
              <w:t>Оптимизация на работните процеси, вкл.</w:t>
            </w:r>
            <w:r w:rsidR="009D3AAC">
              <w:rPr>
                <w:rFonts w:ascii="Times New Roman" w:eastAsia="Times New Roman" w:hAnsi="Times New Roman"/>
                <w:b/>
                <w:sz w:val="24"/>
                <w:szCs w:val="24"/>
                <w:lang w:eastAsia="bg-BG"/>
              </w:rPr>
              <w:t xml:space="preserve"> </w:t>
            </w:r>
            <w:r w:rsidRPr="00350691">
              <w:rPr>
                <w:rFonts w:ascii="Times New Roman" w:eastAsia="Times New Roman" w:hAnsi="Times New Roman"/>
                <w:b/>
                <w:sz w:val="24"/>
                <w:szCs w:val="24"/>
                <w:lang w:eastAsia="bg-BG"/>
              </w:rPr>
              <w:t>въвеждането на гъвкави форми на заетост</w:t>
            </w:r>
            <w:r w:rsidRPr="008F47B0">
              <w:rPr>
                <w:rFonts w:ascii="Times New Roman" w:eastAsia="Times New Roman" w:hAnsi="Times New Roman"/>
                <w:b/>
                <w:sz w:val="24"/>
                <w:szCs w:val="24"/>
                <w:lang w:val="ru-RU" w:eastAsia="bg-BG"/>
              </w:rPr>
              <w:t xml:space="preserve"> (</w:t>
            </w:r>
            <w:r w:rsidRPr="00350691">
              <w:rPr>
                <w:rFonts w:ascii="Times New Roman" w:eastAsia="Times New Roman" w:hAnsi="Times New Roman"/>
                <w:b/>
                <w:sz w:val="24"/>
                <w:szCs w:val="24"/>
                <w:lang w:eastAsia="bg-BG"/>
              </w:rPr>
              <w:t>гъвкаво работно време, ротация на работното място и др.</w:t>
            </w:r>
            <w:r w:rsidRPr="008F47B0">
              <w:rPr>
                <w:rFonts w:ascii="Times New Roman" w:eastAsia="Times New Roman" w:hAnsi="Times New Roman"/>
                <w:b/>
                <w:sz w:val="24"/>
                <w:szCs w:val="24"/>
                <w:lang w:val="ru-RU" w:eastAsia="bg-BG"/>
              </w:rPr>
              <w:t>)</w:t>
            </w:r>
            <w:r w:rsidR="00EF2792" w:rsidRPr="00350691">
              <w:rPr>
                <w:rFonts w:ascii="Times New Roman" w:eastAsia="Times New Roman" w:hAnsi="Times New Roman"/>
                <w:b/>
                <w:sz w:val="24"/>
                <w:szCs w:val="24"/>
                <w:lang w:eastAsia="bg-BG"/>
              </w:rPr>
              <w:t xml:space="preserve"> и други </w:t>
            </w:r>
            <w:r w:rsidR="005D4511">
              <w:rPr>
                <w:rFonts w:ascii="Times New Roman" w:eastAsia="Times New Roman" w:hAnsi="Times New Roman"/>
                <w:b/>
                <w:sz w:val="24"/>
                <w:szCs w:val="24"/>
                <w:lang w:eastAsia="bg-BG"/>
              </w:rPr>
              <w:t xml:space="preserve">практики </w:t>
            </w:r>
            <w:r w:rsidR="00EF2792" w:rsidRPr="00350691">
              <w:rPr>
                <w:rFonts w:ascii="Times New Roman" w:eastAsia="Times New Roman" w:hAnsi="Times New Roman"/>
                <w:b/>
                <w:sz w:val="24"/>
                <w:szCs w:val="24"/>
                <w:lang w:eastAsia="bg-BG"/>
              </w:rPr>
              <w:t>за по лесно съвместяване на професионалния и личния живот;</w:t>
            </w:r>
          </w:p>
          <w:p w14:paraId="4680E4F7" w14:textId="77777777" w:rsidR="00EF2792" w:rsidRDefault="00EF2792" w:rsidP="00EF2792">
            <w:pPr>
              <w:spacing w:before="120" w:after="120" w:line="240" w:lineRule="auto"/>
              <w:ind w:left="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Като допустими в дейността, могат да се включат следните примерни елементи:</w:t>
            </w:r>
          </w:p>
          <w:p w14:paraId="59DCB371" w14:textId="77777777" w:rsidR="00EF2792" w:rsidRPr="00EF2792" w:rsidRDefault="00EF2792" w:rsidP="004058DB">
            <w:pPr>
              <w:numPr>
                <w:ilvl w:val="0"/>
                <w:numId w:val="39"/>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Обезпечаване на предприятието със софтуер за управление на човешките ресурси в предприятието;</w:t>
            </w:r>
          </w:p>
          <w:p w14:paraId="02DCDC7B"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Въвеждане на инов</w:t>
            </w:r>
            <w:r w:rsidR="00ED7E69">
              <w:rPr>
                <w:rFonts w:ascii="Times New Roman" w:eastAsia="Times New Roman" w:hAnsi="Times New Roman"/>
                <w:sz w:val="24"/>
                <w:szCs w:val="24"/>
                <w:lang w:eastAsia="bg-BG"/>
              </w:rPr>
              <w:t>а</w:t>
            </w:r>
            <w:r>
              <w:rPr>
                <w:rFonts w:ascii="Times New Roman" w:eastAsia="Times New Roman" w:hAnsi="Times New Roman"/>
                <w:sz w:val="24"/>
                <w:szCs w:val="24"/>
                <w:lang w:eastAsia="bg-BG"/>
              </w:rPr>
              <w:t xml:space="preserve">тивни модели за организация на труда в предприятията, </w:t>
            </w:r>
            <w:r>
              <w:rPr>
                <w:rFonts w:ascii="Times New Roman" w:eastAsia="Times New Roman" w:hAnsi="Times New Roman"/>
                <w:sz w:val="24"/>
                <w:szCs w:val="24"/>
                <w:lang w:eastAsia="bg-BG"/>
              </w:rPr>
              <w:lastRenderedPageBreak/>
              <w:t>насочени към повишаване на производителността и опазване на околната среда;</w:t>
            </w:r>
          </w:p>
          <w:p w14:paraId="6E0319C5"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Въвеждане на нови практити за обезпечаване на човешки ресурки – планиране, подбор и наемане;</w:t>
            </w:r>
          </w:p>
          <w:p w14:paraId="08009887"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Въвеждане/подобряване на мерките за развитие на кадрите по отношение на планиране на обучения, управление на кариерата, планиране и осъществяване на мерки за учене през целия живот;</w:t>
            </w:r>
          </w:p>
          <w:p w14:paraId="19E82420"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Въвеждане на промени в системата за заплащане на труда ;</w:t>
            </w:r>
          </w:p>
          <w:p w14:paraId="79BE9220"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Оптимизация на вътрешната комуникация, подобряване на взаимоотношенията и координацията в работата между длъжностите и организационните звена на различни нива;</w:t>
            </w:r>
          </w:p>
          <w:p w14:paraId="1EF8BFCD" w14:textId="77777777" w:rsidR="00EF2792" w:rsidRPr="00A36B83" w:rsidRDefault="00EB7683" w:rsidP="00350691">
            <w:pPr>
              <w:spacing w:before="120" w:after="120" w:line="240" w:lineRule="auto"/>
              <w:jc w:val="both"/>
              <w:rPr>
                <w:rFonts w:ascii="Times New Roman" w:eastAsia="Times New Roman" w:hAnsi="Times New Roman"/>
                <w:sz w:val="24"/>
                <w:szCs w:val="24"/>
                <w:lang w:eastAsia="bg-BG"/>
              </w:rPr>
            </w:pPr>
            <w:r w:rsidRPr="00A36B83">
              <w:rPr>
                <w:rFonts w:ascii="Times New Roman" w:eastAsia="Times New Roman" w:hAnsi="Times New Roman"/>
                <w:sz w:val="24"/>
                <w:szCs w:val="24"/>
                <w:lang w:eastAsia="bg-BG"/>
              </w:rPr>
              <w:t xml:space="preserve">При реализиране на конкретната дейност, кандидатът следва да се обоснове и опише необходимостта от усъвършенстване и подобрения спрямо текущото състояние на </w:t>
            </w:r>
            <w:r w:rsidR="007E472F">
              <w:rPr>
                <w:rFonts w:ascii="Times New Roman" w:eastAsia="Times New Roman" w:hAnsi="Times New Roman"/>
                <w:sz w:val="24"/>
                <w:szCs w:val="24"/>
                <w:lang w:eastAsia="bg-BG"/>
              </w:rPr>
              <w:t xml:space="preserve">преработвателното </w:t>
            </w:r>
            <w:r w:rsidRPr="00A36B83">
              <w:rPr>
                <w:rFonts w:ascii="Times New Roman" w:eastAsia="Times New Roman" w:hAnsi="Times New Roman"/>
                <w:sz w:val="24"/>
                <w:szCs w:val="24"/>
                <w:lang w:eastAsia="bg-BG"/>
              </w:rPr>
              <w:t>предприятие и неговото планирано развитие. Когато е приложимо за конкретния проект, кандидатът следва да предостави допълнителна обосновка как предвидените мер</w:t>
            </w:r>
            <w:r w:rsidR="00ED7E69">
              <w:rPr>
                <w:rFonts w:ascii="Times New Roman" w:eastAsia="Times New Roman" w:hAnsi="Times New Roman"/>
                <w:sz w:val="24"/>
                <w:szCs w:val="24"/>
                <w:lang w:eastAsia="bg-BG"/>
              </w:rPr>
              <w:t>к</w:t>
            </w:r>
            <w:r w:rsidRPr="00A36B83">
              <w:rPr>
                <w:rFonts w:ascii="Times New Roman" w:eastAsia="Times New Roman" w:hAnsi="Times New Roman"/>
                <w:sz w:val="24"/>
                <w:szCs w:val="24"/>
                <w:lang w:eastAsia="bg-BG"/>
              </w:rPr>
              <w:t>и ще допренесат за повишаване производителността на труда в предприятието и/или за опазване на околната среда.</w:t>
            </w:r>
          </w:p>
          <w:p w14:paraId="47E2DDC9" w14:textId="77777777" w:rsidR="00A36B83" w:rsidRDefault="00A36B83" w:rsidP="00093083">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360"/>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Дейността трябва да включва задължително и практическо въвеждане в действие</w:t>
            </w:r>
            <w:r w:rsidR="00ED7E69">
              <w:rPr>
                <w:rFonts w:ascii="Times New Roman" w:eastAsia="Times New Roman" w:hAnsi="Times New Roman"/>
                <w:b/>
                <w:sz w:val="24"/>
                <w:szCs w:val="24"/>
                <w:lang w:eastAsia="bg-BG"/>
              </w:rPr>
              <w:t xml:space="preserve"> </w:t>
            </w:r>
            <w:r w:rsidR="00ED7E69" w:rsidRPr="008F47B0">
              <w:rPr>
                <w:rFonts w:ascii="Times New Roman" w:eastAsia="Times New Roman" w:hAnsi="Times New Roman"/>
                <w:b/>
                <w:sz w:val="24"/>
                <w:szCs w:val="24"/>
                <w:lang w:val="ru-RU" w:eastAsia="bg-BG"/>
              </w:rPr>
              <w:t>(</w:t>
            </w:r>
            <w:r>
              <w:rPr>
                <w:rFonts w:ascii="Times New Roman" w:eastAsia="Times New Roman" w:hAnsi="Times New Roman"/>
                <w:b/>
                <w:sz w:val="24"/>
                <w:szCs w:val="24"/>
                <w:lang w:eastAsia="bg-BG"/>
              </w:rPr>
              <w:t>напр.</w:t>
            </w:r>
            <w:r w:rsidR="00ED7E69">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приемане от ръководните органи и включване във вътрешни документи</w:t>
            </w:r>
            <w:r w:rsidRPr="008F47B0">
              <w:rPr>
                <w:rFonts w:ascii="Times New Roman" w:eastAsia="Times New Roman" w:hAnsi="Times New Roman"/>
                <w:b/>
                <w:sz w:val="24"/>
                <w:szCs w:val="24"/>
                <w:lang w:val="ru-RU" w:eastAsia="bg-BG"/>
              </w:rPr>
              <w:t xml:space="preserve">) </w:t>
            </w:r>
            <w:r>
              <w:rPr>
                <w:rFonts w:ascii="Times New Roman" w:eastAsia="Times New Roman" w:hAnsi="Times New Roman"/>
                <w:b/>
                <w:sz w:val="24"/>
                <w:szCs w:val="24"/>
                <w:lang w:eastAsia="bg-BG"/>
              </w:rPr>
              <w:t>на разработените в дейността промени и/или нововъдения по отношение на управлението и развитие</w:t>
            </w:r>
            <w:r w:rsidR="00ED7E69">
              <w:rPr>
                <w:rFonts w:ascii="Times New Roman" w:eastAsia="Times New Roman" w:hAnsi="Times New Roman"/>
                <w:b/>
                <w:sz w:val="24"/>
                <w:szCs w:val="24"/>
                <w:lang w:eastAsia="bg-BG"/>
              </w:rPr>
              <w:t>то</w:t>
            </w:r>
            <w:r>
              <w:rPr>
                <w:rFonts w:ascii="Times New Roman" w:eastAsia="Times New Roman" w:hAnsi="Times New Roman"/>
                <w:b/>
                <w:sz w:val="24"/>
                <w:szCs w:val="24"/>
                <w:lang w:eastAsia="bg-BG"/>
              </w:rPr>
              <w:t xml:space="preserve"> н</w:t>
            </w:r>
            <w:r w:rsidR="00ED7E69">
              <w:rPr>
                <w:rFonts w:ascii="Times New Roman" w:eastAsia="Times New Roman" w:hAnsi="Times New Roman"/>
                <w:b/>
                <w:sz w:val="24"/>
                <w:szCs w:val="24"/>
                <w:lang w:eastAsia="bg-BG"/>
              </w:rPr>
              <w:t>а</w:t>
            </w:r>
            <w:r>
              <w:rPr>
                <w:rFonts w:ascii="Times New Roman" w:eastAsia="Times New Roman" w:hAnsi="Times New Roman"/>
                <w:b/>
                <w:sz w:val="24"/>
                <w:szCs w:val="24"/>
                <w:lang w:eastAsia="bg-BG"/>
              </w:rPr>
              <w:t xml:space="preserve"> човешките ресурси.</w:t>
            </w:r>
          </w:p>
          <w:p w14:paraId="65633857" w14:textId="77777777" w:rsidR="00A36B83" w:rsidRDefault="00A36B83" w:rsidP="00093083">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360"/>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По процедурата се подкрепят проекти, в които са включени мерки за насърчаване на по-възрастните работници и служители и удължаване на професионалния им живот, насърчаване развитието в областта на политиката по околната среда, политиката по изменение на климата, ресурсна ефективност, вкл.прилагане на изискванията на законодателството на ЕС и националното законодателство в тези области и за допринасянето за преодоляване на недостига на „зелени умения </w:t>
            </w:r>
            <w:r w:rsidR="009F6448">
              <w:rPr>
                <w:rStyle w:val="FootnoteReference"/>
                <w:rFonts w:ascii="Times New Roman" w:eastAsia="Times New Roman" w:hAnsi="Times New Roman"/>
                <w:b/>
                <w:sz w:val="24"/>
                <w:szCs w:val="24"/>
                <w:lang w:eastAsia="bg-BG"/>
              </w:rPr>
              <w:footnoteReference w:id="4"/>
            </w:r>
            <w:r>
              <w:rPr>
                <w:rFonts w:ascii="Times New Roman" w:eastAsia="Times New Roman" w:hAnsi="Times New Roman"/>
                <w:b/>
                <w:sz w:val="24"/>
                <w:szCs w:val="24"/>
                <w:lang w:eastAsia="bg-BG"/>
              </w:rPr>
              <w:t>” в съответствие с реалните нужд</w:t>
            </w:r>
            <w:r w:rsidR="00A22A5F">
              <w:rPr>
                <w:rFonts w:ascii="Times New Roman" w:eastAsia="Times New Roman" w:hAnsi="Times New Roman"/>
                <w:b/>
                <w:sz w:val="24"/>
                <w:szCs w:val="24"/>
                <w:lang w:eastAsia="bg-BG"/>
              </w:rPr>
              <w:t>и</w:t>
            </w:r>
            <w:r>
              <w:rPr>
                <w:rFonts w:ascii="Times New Roman" w:eastAsia="Times New Roman" w:hAnsi="Times New Roman"/>
                <w:b/>
                <w:sz w:val="24"/>
                <w:szCs w:val="24"/>
                <w:lang w:eastAsia="bg-BG"/>
              </w:rPr>
              <w:t xml:space="preserve"> на пазара на труда и на ниво предприятие, мерки насърчаващи съвместяването на професионалния, семейния и личния живот.</w:t>
            </w:r>
            <w:r w:rsidR="007322AA">
              <w:t xml:space="preserve"> </w:t>
            </w:r>
            <w:r w:rsidR="007322AA" w:rsidRPr="007322AA">
              <w:rPr>
                <w:rFonts w:ascii="Times New Roman" w:eastAsia="Times New Roman" w:hAnsi="Times New Roman"/>
                <w:b/>
                <w:sz w:val="24"/>
                <w:szCs w:val="24"/>
                <w:lang w:eastAsia="bg-BG"/>
              </w:rPr>
              <w:t>Включването на мерки за подкрепа на  възраст над 54 години и/или хора с увреждания”, за насърчаване развитието в областта на политиката по околната среда, политиката по изменение на климата, ресурсна ефективност, вкл. прилагане на изискванията на законодателството на ЕС и националното законодателство в тази област носят допълнителни точки при оценка на проектните предложения.</w:t>
            </w:r>
            <w:r w:rsidR="00ED7E69">
              <w:rPr>
                <w:rFonts w:ascii="Times New Roman" w:eastAsia="Times New Roman" w:hAnsi="Times New Roman"/>
                <w:b/>
                <w:sz w:val="24"/>
                <w:szCs w:val="24"/>
                <w:lang w:eastAsia="bg-BG"/>
              </w:rPr>
              <w:t xml:space="preserve"> </w:t>
            </w:r>
            <w:r w:rsidR="007322AA" w:rsidRPr="007322AA">
              <w:rPr>
                <w:rFonts w:ascii="Times New Roman" w:eastAsia="Times New Roman" w:hAnsi="Times New Roman"/>
                <w:b/>
                <w:sz w:val="24"/>
                <w:szCs w:val="24"/>
                <w:lang w:eastAsia="bg-BG"/>
              </w:rPr>
              <w:t>(съгласно Приложение „Методология за оценка на техническо и финансово качество на проектното предложение).</w:t>
            </w:r>
          </w:p>
          <w:p w14:paraId="2A755705" w14:textId="77777777" w:rsidR="00A36B83" w:rsidRDefault="00A36B83" w:rsidP="00A36B83">
            <w:pPr>
              <w:spacing w:line="276" w:lineRule="auto"/>
              <w:jc w:val="both"/>
              <w:rPr>
                <w:rFonts w:ascii="Times New Roman" w:hAnsi="Times New Roman"/>
                <w:b/>
              </w:rPr>
            </w:pPr>
            <w:r>
              <w:rPr>
                <w:rFonts w:ascii="Times New Roman" w:hAnsi="Times New Roman"/>
                <w:b/>
              </w:rPr>
              <w:t xml:space="preserve">          </w:t>
            </w:r>
          </w:p>
          <w:p w14:paraId="7298267E" w14:textId="10838690" w:rsidR="002561B1" w:rsidRPr="00390DF0" w:rsidRDefault="002561B1" w:rsidP="00390DF0">
            <w:pPr>
              <w:pStyle w:val="ListParagraph"/>
              <w:numPr>
                <w:ilvl w:val="0"/>
                <w:numId w:val="25"/>
              </w:numPr>
              <w:tabs>
                <w:tab w:val="left" w:pos="248"/>
              </w:tabs>
              <w:spacing w:line="276" w:lineRule="auto"/>
              <w:jc w:val="both"/>
              <w:rPr>
                <w:rFonts w:ascii="Times New Roman" w:hAnsi="Times New Roman"/>
                <w:b/>
                <w:sz w:val="24"/>
                <w:szCs w:val="24"/>
              </w:rPr>
            </w:pPr>
            <w:r w:rsidRPr="00390DF0">
              <w:rPr>
                <w:rFonts w:ascii="Times New Roman" w:hAnsi="Times New Roman"/>
                <w:b/>
                <w:sz w:val="24"/>
                <w:szCs w:val="24"/>
              </w:rPr>
              <w:t xml:space="preserve">Осигуряване на организиран транспорт от работодателя до и от работното място </w:t>
            </w:r>
            <w:r w:rsidRPr="00390DF0">
              <w:rPr>
                <w:rFonts w:ascii="Times New Roman" w:hAnsi="Times New Roman"/>
                <w:b/>
                <w:sz w:val="24"/>
                <w:szCs w:val="24"/>
              </w:rPr>
              <w:lastRenderedPageBreak/>
              <w:t>за заетите в съответното предприятие лица, за период до 12 месеца.</w:t>
            </w:r>
          </w:p>
          <w:p w14:paraId="52099B25" w14:textId="20CE011B" w:rsidR="002561B1" w:rsidRDefault="002561B1" w:rsidP="00A36B83">
            <w:pPr>
              <w:spacing w:line="276" w:lineRule="auto"/>
              <w:jc w:val="both"/>
              <w:rPr>
                <w:rFonts w:ascii="Times New Roman" w:eastAsia="Times New Roman" w:hAnsi="Times New Roman"/>
                <w:sz w:val="24"/>
                <w:szCs w:val="24"/>
                <w:lang w:eastAsia="bg-BG"/>
              </w:rPr>
            </w:pPr>
            <w:r w:rsidRPr="002561B1">
              <w:rPr>
                <w:rFonts w:ascii="Times New Roman" w:eastAsia="Times New Roman" w:hAnsi="Times New Roman"/>
                <w:sz w:val="24"/>
                <w:szCs w:val="24"/>
                <w:lang w:eastAsia="bg-BG"/>
              </w:rPr>
              <w:t>Таз</w:t>
            </w:r>
            <w:r>
              <w:rPr>
                <w:rFonts w:ascii="Times New Roman" w:eastAsia="Times New Roman" w:hAnsi="Times New Roman"/>
                <w:sz w:val="24"/>
                <w:szCs w:val="24"/>
                <w:lang w:eastAsia="bg-BG"/>
              </w:rPr>
              <w:t>и дейност може да се изпълни чрез осигуряване на организиран собствен транспорт за собствена сметка  или възлагане на превоза на лицензиран превозвач, спазвайки разпоредбите на Закона за автомобилни превози</w:t>
            </w:r>
            <w:r w:rsidR="009D3AAC">
              <w:rPr>
                <w:rFonts w:ascii="Times New Roman" w:eastAsia="Times New Roman" w:hAnsi="Times New Roman"/>
                <w:sz w:val="24"/>
                <w:szCs w:val="24"/>
                <w:lang w:eastAsia="bg-BG"/>
              </w:rPr>
              <w:t>.</w:t>
            </w:r>
          </w:p>
          <w:p w14:paraId="5591BF85" w14:textId="77777777" w:rsidR="002561B1" w:rsidRPr="009F6448" w:rsidRDefault="002561B1" w:rsidP="00A36B83">
            <w:pPr>
              <w:spacing w:line="276"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Лицата от целевата група, включени в тази </w:t>
            </w:r>
            <w:r w:rsidRPr="009F6448">
              <w:rPr>
                <w:rFonts w:ascii="Times New Roman" w:eastAsia="Times New Roman" w:hAnsi="Times New Roman"/>
                <w:sz w:val="24"/>
                <w:szCs w:val="24"/>
                <w:lang w:eastAsia="bg-BG"/>
              </w:rPr>
              <w:t xml:space="preserve">дейност следва да отговарят на условията, определени в </w:t>
            </w:r>
            <w:r w:rsidRPr="009F6448">
              <w:rPr>
                <w:rFonts w:ascii="Times New Roman" w:eastAsia="Times New Roman" w:hAnsi="Times New Roman"/>
                <w:b/>
                <w:sz w:val="24"/>
                <w:szCs w:val="24"/>
                <w:lang w:eastAsia="bg-BG"/>
              </w:rPr>
              <w:t>т.1</w:t>
            </w:r>
            <w:r w:rsidR="009F6448" w:rsidRPr="009F6448">
              <w:rPr>
                <w:rFonts w:ascii="Times New Roman" w:eastAsia="Times New Roman" w:hAnsi="Times New Roman"/>
                <w:b/>
                <w:sz w:val="24"/>
                <w:szCs w:val="24"/>
                <w:lang w:eastAsia="bg-BG"/>
              </w:rPr>
              <w:t>5</w:t>
            </w:r>
            <w:r w:rsidRPr="009F6448">
              <w:rPr>
                <w:rFonts w:ascii="Times New Roman" w:eastAsia="Times New Roman" w:hAnsi="Times New Roman"/>
                <w:b/>
                <w:sz w:val="24"/>
                <w:szCs w:val="24"/>
                <w:lang w:eastAsia="bg-BG"/>
              </w:rPr>
              <w:t xml:space="preserve"> от Условията за кандидатстване.</w:t>
            </w:r>
          </w:p>
          <w:p w14:paraId="536D2C6E" w14:textId="77777777" w:rsidR="002561B1" w:rsidRDefault="002561B1" w:rsidP="00A36B83">
            <w:pPr>
              <w:spacing w:line="276"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При попълване на формуляра за кандидатстване в описание на конкретната дейност следва да се предостави следната информация:</w:t>
            </w:r>
          </w:p>
          <w:p w14:paraId="1E4E4D02" w14:textId="77777777" w:rsidR="002561B1" w:rsidRDefault="002561B1" w:rsidP="002561B1">
            <w:pPr>
              <w:numPr>
                <w:ilvl w:val="0"/>
                <w:numId w:val="36"/>
              </w:numPr>
              <w:spacing w:line="276"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Детайлно разписана транспортна схема, която включва броя на лицата, за които се извършва превоз, маршрута на извършвания превоз на пътници от и до работното място, както и дали превозът ще се извършва по няколко пъти, в случай че работниците осъществяват дейността си на смени. Детайлната транспортна схема описва подробно маршрута в километри от началната точка, откъдето тръгва съответното превозно средство, местата от които се качват</w:t>
            </w:r>
            <w:r w:rsidR="004D68BD">
              <w:rPr>
                <w:rFonts w:ascii="Times New Roman" w:eastAsia="Times New Roman" w:hAnsi="Times New Roman"/>
                <w:sz w:val="24"/>
                <w:szCs w:val="24"/>
                <w:lang w:eastAsia="bg-BG"/>
              </w:rPr>
              <w:t>/слизат служителите до работното място и обратно;</w:t>
            </w:r>
          </w:p>
          <w:p w14:paraId="3CECFF6C" w14:textId="1A0D2487" w:rsidR="004D68BD" w:rsidRDefault="004D68BD" w:rsidP="002561B1">
            <w:pPr>
              <w:numPr>
                <w:ilvl w:val="0"/>
                <w:numId w:val="36"/>
              </w:numPr>
              <w:spacing w:line="276"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Вида </w:t>
            </w:r>
            <w:r w:rsidRPr="008F47B0">
              <w:rPr>
                <w:rFonts w:ascii="Times New Roman" w:eastAsia="Times New Roman" w:hAnsi="Times New Roman"/>
                <w:sz w:val="24"/>
                <w:szCs w:val="24"/>
                <w:lang w:val="ru-RU" w:eastAsia="bg-BG"/>
              </w:rPr>
              <w:t>(</w:t>
            </w:r>
            <w:r>
              <w:rPr>
                <w:rFonts w:ascii="Times New Roman" w:eastAsia="Times New Roman" w:hAnsi="Times New Roman"/>
                <w:sz w:val="24"/>
                <w:szCs w:val="24"/>
                <w:lang w:eastAsia="bg-BG"/>
              </w:rPr>
              <w:t>брой места</w:t>
            </w:r>
            <w:r w:rsidRPr="008F47B0">
              <w:rPr>
                <w:rFonts w:ascii="Times New Roman" w:eastAsia="Times New Roman" w:hAnsi="Times New Roman"/>
                <w:sz w:val="24"/>
                <w:szCs w:val="24"/>
                <w:lang w:val="ru-RU" w:eastAsia="bg-BG"/>
              </w:rPr>
              <w:t xml:space="preserve">) </w:t>
            </w:r>
            <w:r>
              <w:rPr>
                <w:rFonts w:ascii="Times New Roman" w:eastAsia="Times New Roman" w:hAnsi="Times New Roman"/>
                <w:sz w:val="24"/>
                <w:szCs w:val="24"/>
                <w:lang w:eastAsia="bg-BG"/>
              </w:rPr>
              <w:t>и броя на изп</w:t>
            </w:r>
            <w:r w:rsidR="007A799F">
              <w:rPr>
                <w:rFonts w:ascii="Times New Roman" w:eastAsia="Times New Roman" w:hAnsi="Times New Roman"/>
                <w:sz w:val="24"/>
                <w:szCs w:val="24"/>
                <w:lang w:eastAsia="bg-BG"/>
              </w:rPr>
              <w:t>о</w:t>
            </w:r>
            <w:r>
              <w:rPr>
                <w:rFonts w:ascii="Times New Roman" w:eastAsia="Times New Roman" w:hAnsi="Times New Roman"/>
                <w:sz w:val="24"/>
                <w:szCs w:val="24"/>
                <w:lang w:eastAsia="bg-BG"/>
              </w:rPr>
              <w:t xml:space="preserve">лзваните транспортни средства по маршрута за денонощие – </w:t>
            </w:r>
            <w:r w:rsidRPr="00CE0058">
              <w:rPr>
                <w:rFonts w:ascii="Times New Roman" w:eastAsia="Times New Roman" w:hAnsi="Times New Roman"/>
                <w:b/>
                <w:sz w:val="24"/>
                <w:szCs w:val="24"/>
                <w:lang w:eastAsia="bg-BG"/>
              </w:rPr>
              <w:t>представя се единствено, в случай че кандидатът извършва превоза на пътници от и до работнота място със собствен транспорт</w:t>
            </w:r>
            <w:r w:rsidR="007A799F">
              <w:rPr>
                <w:rFonts w:ascii="Times New Roman" w:eastAsia="Times New Roman" w:hAnsi="Times New Roman"/>
                <w:b/>
                <w:sz w:val="24"/>
                <w:szCs w:val="24"/>
                <w:lang w:eastAsia="bg-BG"/>
              </w:rPr>
              <w:t>.</w:t>
            </w:r>
          </w:p>
          <w:p w14:paraId="6B0FA6D3" w14:textId="77777777" w:rsidR="004D68BD" w:rsidRPr="004C512A" w:rsidRDefault="004D68BD" w:rsidP="004D68BD">
            <w:pPr>
              <w:spacing w:line="276" w:lineRule="auto"/>
              <w:ind w:left="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Разходите по изпълнението на тази дейност следнва да бъдат в съответствие с </w:t>
            </w:r>
            <w:r w:rsidRPr="004C512A">
              <w:rPr>
                <w:rFonts w:ascii="Times New Roman" w:eastAsia="Times New Roman" w:hAnsi="Times New Roman"/>
                <w:sz w:val="24"/>
                <w:szCs w:val="24"/>
                <w:lang w:eastAsia="bg-BG"/>
              </w:rPr>
              <w:t>допустимите разходи в настоящите Условия за кандидатстване.</w:t>
            </w:r>
          </w:p>
          <w:p w14:paraId="527FEFA0" w14:textId="61BA2729" w:rsidR="004F0192" w:rsidRPr="00390DF0" w:rsidRDefault="004F0192" w:rsidP="00390DF0">
            <w:pPr>
              <w:pStyle w:val="ListParagraph"/>
              <w:numPr>
                <w:ilvl w:val="0"/>
                <w:numId w:val="47"/>
              </w:numPr>
              <w:tabs>
                <w:tab w:val="left" w:pos="248"/>
              </w:tabs>
              <w:spacing w:line="276" w:lineRule="auto"/>
              <w:ind w:left="33" w:firstLine="0"/>
              <w:jc w:val="both"/>
              <w:rPr>
                <w:rFonts w:ascii="Times New Roman" w:hAnsi="Times New Roman"/>
                <w:b/>
                <w:sz w:val="24"/>
                <w:szCs w:val="24"/>
              </w:rPr>
            </w:pPr>
            <w:r w:rsidRPr="00390DF0">
              <w:rPr>
                <w:rFonts w:ascii="Times New Roman" w:hAnsi="Times New Roman"/>
                <w:b/>
                <w:sz w:val="24"/>
                <w:szCs w:val="24"/>
              </w:rPr>
              <w:t>Осигуряване на безопасни и здравословни условия на труд, подобряване професионалния и здравния статус на работниците и служителите:</w:t>
            </w:r>
          </w:p>
          <w:p w14:paraId="1118BA73" w14:textId="77777777" w:rsidR="00E24B60" w:rsidRPr="00F67E46" w:rsidRDefault="004F0192" w:rsidP="00E24B60">
            <w:pPr>
              <w:tabs>
                <w:tab w:val="left" w:pos="248"/>
              </w:tabs>
              <w:spacing w:line="276" w:lineRule="auto"/>
              <w:jc w:val="both"/>
              <w:rPr>
                <w:rFonts w:ascii="Times New Roman" w:hAnsi="Times New Roman"/>
                <w:sz w:val="24"/>
                <w:szCs w:val="24"/>
              </w:rPr>
            </w:pPr>
            <w:r w:rsidRPr="00F67E46">
              <w:rPr>
                <w:rFonts w:ascii="Times New Roman" w:hAnsi="Times New Roman"/>
                <w:sz w:val="24"/>
                <w:szCs w:val="24"/>
              </w:rPr>
              <w:t xml:space="preserve">Към дейността са включени </w:t>
            </w:r>
            <w:r w:rsidR="00E24B60" w:rsidRPr="00F67E46">
              <w:rPr>
                <w:rFonts w:ascii="Times New Roman" w:hAnsi="Times New Roman"/>
                <w:sz w:val="24"/>
                <w:szCs w:val="24"/>
              </w:rPr>
              <w:t>следните премерни под</w:t>
            </w:r>
            <w:r w:rsidR="00216701" w:rsidRPr="00F67E46">
              <w:rPr>
                <w:rFonts w:ascii="Times New Roman" w:hAnsi="Times New Roman"/>
                <w:sz w:val="24"/>
                <w:szCs w:val="24"/>
              </w:rPr>
              <w:t>-</w:t>
            </w:r>
            <w:r w:rsidR="00E24B60" w:rsidRPr="00F67E46">
              <w:rPr>
                <w:rFonts w:ascii="Times New Roman" w:hAnsi="Times New Roman"/>
                <w:sz w:val="24"/>
                <w:szCs w:val="24"/>
              </w:rPr>
              <w:t>дейности:</w:t>
            </w:r>
          </w:p>
          <w:p w14:paraId="7CB581C6" w14:textId="3D7D4755" w:rsidR="004F0192" w:rsidRDefault="00925FBB" w:rsidP="00E24B60">
            <w:pPr>
              <w:tabs>
                <w:tab w:val="left" w:pos="248"/>
              </w:tabs>
              <w:spacing w:line="276" w:lineRule="auto"/>
              <w:jc w:val="both"/>
              <w:rPr>
                <w:rFonts w:ascii="Times New Roman" w:hAnsi="Times New Roman"/>
                <w:sz w:val="24"/>
                <w:szCs w:val="24"/>
              </w:rPr>
            </w:pPr>
            <w:r>
              <w:rPr>
                <w:rFonts w:ascii="Times New Roman" w:hAnsi="Times New Roman"/>
                <w:b/>
                <w:sz w:val="24"/>
                <w:szCs w:val="24"/>
              </w:rPr>
              <w:t>3</w:t>
            </w:r>
            <w:r w:rsidR="00E24B60">
              <w:rPr>
                <w:rFonts w:ascii="Times New Roman" w:hAnsi="Times New Roman"/>
                <w:b/>
                <w:sz w:val="24"/>
                <w:szCs w:val="24"/>
              </w:rPr>
              <w:t>.1.</w:t>
            </w:r>
            <w:r w:rsidR="003B12FC">
              <w:rPr>
                <w:rFonts w:ascii="Times New Roman" w:hAnsi="Times New Roman"/>
                <w:b/>
                <w:sz w:val="24"/>
                <w:szCs w:val="24"/>
              </w:rPr>
              <w:t xml:space="preserve"> </w:t>
            </w:r>
            <w:r w:rsidR="004F0192" w:rsidRPr="004058DB">
              <w:rPr>
                <w:rFonts w:ascii="Times New Roman" w:hAnsi="Times New Roman"/>
                <w:b/>
                <w:sz w:val="24"/>
                <w:szCs w:val="24"/>
              </w:rPr>
              <w:t xml:space="preserve">Осигуряване на </w:t>
            </w:r>
            <w:r w:rsidR="007A799F" w:rsidRPr="00CE0058">
              <w:rPr>
                <w:rFonts w:ascii="Times New Roman" w:hAnsi="Times New Roman"/>
                <w:b/>
                <w:sz w:val="24"/>
                <w:szCs w:val="24"/>
              </w:rPr>
              <w:t>средства за колективна защита</w:t>
            </w:r>
            <w:r w:rsidR="007A799F" w:rsidRPr="00CE0058">
              <w:rPr>
                <w:rFonts w:ascii="Times New Roman" w:hAnsi="Times New Roman"/>
                <w:b/>
                <w:sz w:val="24"/>
                <w:szCs w:val="24"/>
                <w:vertAlign w:val="superscript"/>
              </w:rPr>
              <w:footnoteReference w:id="5"/>
            </w:r>
            <w:r w:rsidR="004F0192" w:rsidRPr="007A799F">
              <w:rPr>
                <w:rFonts w:ascii="Times New Roman" w:hAnsi="Times New Roman"/>
                <w:b/>
                <w:sz w:val="24"/>
                <w:szCs w:val="24"/>
              </w:rPr>
              <w:t>,</w:t>
            </w:r>
            <w:r w:rsidR="004F0192" w:rsidRPr="004058DB">
              <w:rPr>
                <w:rFonts w:ascii="Times New Roman" w:hAnsi="Times New Roman"/>
                <w:b/>
                <w:sz w:val="24"/>
                <w:szCs w:val="24"/>
              </w:rPr>
              <w:t xml:space="preserve"> включително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w:t>
            </w:r>
          </w:p>
          <w:p w14:paraId="5A408B61" w14:textId="2CB3C733" w:rsidR="00925FBB" w:rsidRPr="00CE0058" w:rsidRDefault="00925FBB" w:rsidP="00925FBB">
            <w:pPr>
              <w:pBdr>
                <w:top w:val="single" w:sz="4" w:space="1" w:color="auto"/>
                <w:left w:val="single" w:sz="4" w:space="4" w:color="auto"/>
                <w:bottom w:val="single" w:sz="4" w:space="1" w:color="auto"/>
                <w:right w:val="single" w:sz="4" w:space="4" w:color="auto"/>
              </w:pBdr>
              <w:tabs>
                <w:tab w:val="left" w:pos="248"/>
              </w:tabs>
              <w:spacing w:line="276" w:lineRule="auto"/>
              <w:jc w:val="both"/>
              <w:rPr>
                <w:rFonts w:ascii="Times New Roman" w:hAnsi="Times New Roman"/>
                <w:b/>
                <w:sz w:val="24"/>
                <w:szCs w:val="24"/>
              </w:rPr>
            </w:pPr>
            <w:r w:rsidRPr="00CE0058">
              <w:rPr>
                <w:rFonts w:ascii="Times New Roman" w:hAnsi="Times New Roman"/>
                <w:b/>
                <w:sz w:val="24"/>
                <w:szCs w:val="24"/>
              </w:rPr>
              <w:t xml:space="preserve">В рамките на тази дейност </w:t>
            </w:r>
            <w:r w:rsidRPr="007A799F">
              <w:rPr>
                <w:rFonts w:ascii="Times New Roman" w:hAnsi="Times New Roman"/>
                <w:b/>
                <w:sz w:val="24"/>
                <w:szCs w:val="24"/>
                <w:u w:val="single"/>
              </w:rPr>
              <w:t>не е допустимо</w:t>
            </w:r>
            <w:r w:rsidRPr="00CE0058">
              <w:rPr>
                <w:rFonts w:ascii="Times New Roman" w:hAnsi="Times New Roman"/>
                <w:b/>
                <w:sz w:val="24"/>
                <w:szCs w:val="24"/>
              </w:rPr>
              <w:t xml:space="preserve"> закупуването на машини и съоръжения, свързани с модернизация на производствената/основната дейност на предприятието.</w:t>
            </w:r>
          </w:p>
          <w:p w14:paraId="792FEB37" w14:textId="77777777" w:rsidR="00415C68" w:rsidRPr="00DE4320" w:rsidRDefault="00415C68" w:rsidP="00415C68">
            <w:pPr>
              <w:tabs>
                <w:tab w:val="left" w:pos="177"/>
                <w:tab w:val="left" w:pos="248"/>
              </w:tabs>
              <w:spacing w:after="0" w:line="276" w:lineRule="auto"/>
              <w:jc w:val="both"/>
              <w:rPr>
                <w:rFonts w:ascii="Times New Roman" w:hAnsi="Times New Roman"/>
                <w:b/>
                <w:sz w:val="24"/>
                <w:szCs w:val="24"/>
              </w:rPr>
            </w:pPr>
            <w:r w:rsidRPr="00DE4320">
              <w:rPr>
                <w:rFonts w:ascii="Times New Roman" w:hAnsi="Times New Roman"/>
                <w:b/>
                <w:sz w:val="24"/>
                <w:szCs w:val="24"/>
              </w:rPr>
              <w:t>Минимални изисквания:</w:t>
            </w:r>
          </w:p>
          <w:p w14:paraId="3E5F9B29" w14:textId="77777777" w:rsidR="00415C68" w:rsidRPr="004C512A" w:rsidRDefault="00DE4320" w:rsidP="00415C68">
            <w:pPr>
              <w:tabs>
                <w:tab w:val="left" w:pos="177"/>
                <w:tab w:val="left" w:pos="248"/>
              </w:tabs>
              <w:spacing w:after="0" w:line="276" w:lineRule="auto"/>
              <w:jc w:val="both"/>
              <w:rPr>
                <w:rFonts w:ascii="Times New Roman" w:hAnsi="Times New Roman"/>
                <w:sz w:val="24"/>
                <w:szCs w:val="24"/>
              </w:rPr>
            </w:pPr>
            <w:r>
              <w:rPr>
                <w:rFonts w:ascii="Times New Roman" w:hAnsi="Times New Roman"/>
                <w:sz w:val="24"/>
                <w:szCs w:val="24"/>
              </w:rPr>
              <w:t xml:space="preserve">           </w:t>
            </w:r>
            <w:r w:rsidR="00415C68" w:rsidRPr="004C512A">
              <w:rPr>
                <w:rFonts w:ascii="Times New Roman" w:hAnsi="Times New Roman"/>
                <w:sz w:val="24"/>
                <w:szCs w:val="24"/>
              </w:rPr>
              <w:t>В случай, че кандидатът описва тази дейност в проектното предложение, трябва да бъде посочено точно каква модернизация и/или реконструкция ще бъде извършена, с оглед обезопасяването на съществуващи обекти</w:t>
            </w:r>
            <w:r w:rsidR="003E0095">
              <w:rPr>
                <w:rFonts w:ascii="Times New Roman" w:hAnsi="Times New Roman"/>
                <w:sz w:val="24"/>
                <w:szCs w:val="24"/>
              </w:rPr>
              <w:t xml:space="preserve"> </w:t>
            </w:r>
            <w:r w:rsidR="00415C68" w:rsidRPr="008F47B0">
              <w:rPr>
                <w:rFonts w:ascii="Times New Roman" w:hAnsi="Times New Roman"/>
                <w:sz w:val="24"/>
                <w:szCs w:val="24"/>
                <w:lang w:val="ru-RU"/>
              </w:rPr>
              <w:t>(</w:t>
            </w:r>
            <w:r w:rsidR="00415C68" w:rsidRPr="004C512A">
              <w:rPr>
                <w:rFonts w:ascii="Times New Roman" w:hAnsi="Times New Roman"/>
                <w:sz w:val="24"/>
                <w:szCs w:val="24"/>
              </w:rPr>
              <w:t>напр.</w:t>
            </w:r>
            <w:r w:rsidR="003E0095">
              <w:rPr>
                <w:rFonts w:ascii="Times New Roman" w:hAnsi="Times New Roman"/>
                <w:sz w:val="24"/>
                <w:szCs w:val="24"/>
              </w:rPr>
              <w:t xml:space="preserve"> </w:t>
            </w:r>
            <w:r w:rsidR="00415C68" w:rsidRPr="004C512A">
              <w:rPr>
                <w:rFonts w:ascii="Times New Roman" w:hAnsi="Times New Roman"/>
                <w:sz w:val="24"/>
                <w:szCs w:val="24"/>
              </w:rPr>
              <w:t xml:space="preserve">изграждане на парапети и конструкции; устройства за достъп до пределени помещения с цел обезопасяване на </w:t>
            </w:r>
            <w:r w:rsidR="00415C68" w:rsidRPr="004C512A">
              <w:rPr>
                <w:rFonts w:ascii="Times New Roman" w:hAnsi="Times New Roman"/>
                <w:sz w:val="24"/>
                <w:szCs w:val="24"/>
              </w:rPr>
              <w:lastRenderedPageBreak/>
              <w:t>хората, които работят в тях; изграждане на вентилационна и/или климатична система, свързана с безопасни и здравословни условия на труд и др.</w:t>
            </w:r>
            <w:r w:rsidR="00415C68" w:rsidRPr="008F47B0">
              <w:rPr>
                <w:rFonts w:ascii="Times New Roman" w:hAnsi="Times New Roman"/>
                <w:sz w:val="24"/>
                <w:szCs w:val="24"/>
                <w:lang w:val="ru-RU"/>
              </w:rPr>
              <w:t xml:space="preserve">) </w:t>
            </w:r>
            <w:r w:rsidR="00415C68" w:rsidRPr="004C512A">
              <w:rPr>
                <w:rFonts w:ascii="Times New Roman" w:hAnsi="Times New Roman"/>
                <w:sz w:val="24"/>
                <w:szCs w:val="24"/>
              </w:rPr>
              <w:t>Кандидатът следва да има в предвид, че при разписването на тази дейност, е необходимо във формуляра за кандидатстване в описанието на конкретната дейност да бъде ясно описано състоянието на предприятието в момента на канди</w:t>
            </w:r>
            <w:r w:rsidR="00925FBB">
              <w:rPr>
                <w:rFonts w:ascii="Times New Roman" w:hAnsi="Times New Roman"/>
                <w:sz w:val="24"/>
                <w:szCs w:val="24"/>
              </w:rPr>
              <w:t xml:space="preserve">датстване, както и конкретният </w:t>
            </w:r>
            <w:r w:rsidR="00415C68" w:rsidRPr="004C512A">
              <w:rPr>
                <w:rFonts w:ascii="Times New Roman" w:hAnsi="Times New Roman"/>
                <w:sz w:val="24"/>
                <w:szCs w:val="24"/>
              </w:rPr>
              <w:t>е</w:t>
            </w:r>
            <w:r w:rsidR="00925FBB">
              <w:rPr>
                <w:rFonts w:ascii="Times New Roman" w:hAnsi="Times New Roman"/>
                <w:sz w:val="24"/>
                <w:szCs w:val="24"/>
              </w:rPr>
              <w:t>фе</w:t>
            </w:r>
            <w:r w:rsidR="00415C68" w:rsidRPr="004C512A">
              <w:rPr>
                <w:rFonts w:ascii="Times New Roman" w:hAnsi="Times New Roman"/>
                <w:sz w:val="24"/>
                <w:szCs w:val="24"/>
              </w:rPr>
              <w:t>к</w:t>
            </w:r>
            <w:r w:rsidR="00925FBB">
              <w:rPr>
                <w:rFonts w:ascii="Times New Roman" w:hAnsi="Times New Roman"/>
                <w:sz w:val="24"/>
                <w:szCs w:val="24"/>
              </w:rPr>
              <w:t>т</w:t>
            </w:r>
            <w:r w:rsidR="00415C68" w:rsidRPr="004C512A">
              <w:rPr>
                <w:rFonts w:ascii="Times New Roman" w:hAnsi="Times New Roman"/>
                <w:sz w:val="24"/>
                <w:szCs w:val="24"/>
              </w:rPr>
              <w:t>, до който ще доведе самата модернизация/реконструкция.</w:t>
            </w:r>
          </w:p>
          <w:p w14:paraId="74D0493C" w14:textId="77777777" w:rsidR="00415C68" w:rsidRPr="004C512A" w:rsidRDefault="00415C68" w:rsidP="00415C68">
            <w:pPr>
              <w:tabs>
                <w:tab w:val="left" w:pos="177"/>
                <w:tab w:val="left" w:pos="248"/>
              </w:tabs>
              <w:spacing w:after="0" w:line="276" w:lineRule="auto"/>
              <w:jc w:val="both"/>
              <w:rPr>
                <w:rFonts w:ascii="Times New Roman" w:hAnsi="Times New Roman"/>
                <w:sz w:val="24"/>
                <w:szCs w:val="24"/>
              </w:rPr>
            </w:pPr>
          </w:p>
          <w:p w14:paraId="75967EBA" w14:textId="77777777" w:rsidR="00415C68" w:rsidRPr="004C512A" w:rsidRDefault="00DE4320" w:rsidP="00415C68">
            <w:pPr>
              <w:tabs>
                <w:tab w:val="left" w:pos="177"/>
                <w:tab w:val="left" w:pos="248"/>
              </w:tabs>
              <w:spacing w:after="0" w:line="276" w:lineRule="auto"/>
              <w:jc w:val="both"/>
              <w:rPr>
                <w:rFonts w:ascii="Times New Roman" w:hAnsi="Times New Roman"/>
                <w:sz w:val="24"/>
                <w:szCs w:val="24"/>
              </w:rPr>
            </w:pPr>
            <w:r>
              <w:rPr>
                <w:rFonts w:ascii="Times New Roman" w:hAnsi="Times New Roman"/>
                <w:sz w:val="24"/>
                <w:szCs w:val="24"/>
              </w:rPr>
              <w:t xml:space="preserve">          </w:t>
            </w:r>
            <w:r w:rsidR="00415C68" w:rsidRPr="004C512A">
              <w:rPr>
                <w:rFonts w:ascii="Times New Roman" w:hAnsi="Times New Roman"/>
                <w:sz w:val="24"/>
                <w:szCs w:val="24"/>
              </w:rPr>
              <w:t xml:space="preserve">Следва да се посочи и как ще </w:t>
            </w:r>
            <w:r w:rsidR="00F95ECE">
              <w:rPr>
                <w:rFonts w:ascii="Times New Roman" w:hAnsi="Times New Roman"/>
                <w:sz w:val="24"/>
                <w:szCs w:val="24"/>
              </w:rPr>
              <w:t xml:space="preserve">допринесат </w:t>
            </w:r>
            <w:r w:rsidR="00415C68" w:rsidRPr="004C512A">
              <w:rPr>
                <w:rFonts w:ascii="Times New Roman" w:hAnsi="Times New Roman"/>
                <w:sz w:val="24"/>
                <w:szCs w:val="24"/>
              </w:rPr>
              <w:t xml:space="preserve">за повишаване на здравето и безопастността на работниците и служителите, предвидените за закупуване средства за колективна </w:t>
            </w:r>
            <w:r w:rsidR="00F95ECE" w:rsidRPr="004C512A">
              <w:rPr>
                <w:rFonts w:ascii="Times New Roman" w:hAnsi="Times New Roman"/>
                <w:sz w:val="24"/>
                <w:szCs w:val="24"/>
              </w:rPr>
              <w:t>защит</w:t>
            </w:r>
            <w:r w:rsidR="00F95ECE">
              <w:rPr>
                <w:rFonts w:ascii="Times New Roman" w:hAnsi="Times New Roman"/>
                <w:sz w:val="24"/>
                <w:szCs w:val="24"/>
              </w:rPr>
              <w:t>а</w:t>
            </w:r>
            <w:r w:rsidR="00415C68" w:rsidRPr="004C512A">
              <w:rPr>
                <w:rFonts w:ascii="Times New Roman" w:hAnsi="Times New Roman"/>
                <w:sz w:val="24"/>
                <w:szCs w:val="24"/>
              </w:rPr>
              <w:t xml:space="preserve">. С оглед подпомагането на кандидатите относно допустимите за финансиране разходи, свързани с изпълннението на дейността, се прилага примерен </w:t>
            </w:r>
            <w:r w:rsidR="00415C68" w:rsidRPr="008F47B0">
              <w:rPr>
                <w:rFonts w:ascii="Times New Roman" w:hAnsi="Times New Roman"/>
                <w:sz w:val="24"/>
                <w:szCs w:val="24"/>
                <w:lang w:val="ru-RU"/>
              </w:rPr>
              <w:t>(</w:t>
            </w:r>
            <w:r w:rsidR="00415C68" w:rsidRPr="004C512A">
              <w:rPr>
                <w:rFonts w:ascii="Times New Roman" w:hAnsi="Times New Roman"/>
                <w:sz w:val="24"/>
                <w:szCs w:val="24"/>
              </w:rPr>
              <w:t>не</w:t>
            </w:r>
            <w:r w:rsidR="00F95ECE">
              <w:rPr>
                <w:rFonts w:ascii="Times New Roman" w:hAnsi="Times New Roman"/>
                <w:sz w:val="24"/>
                <w:szCs w:val="24"/>
              </w:rPr>
              <w:t>и</w:t>
            </w:r>
            <w:r w:rsidR="00415C68" w:rsidRPr="004C512A">
              <w:rPr>
                <w:rFonts w:ascii="Times New Roman" w:hAnsi="Times New Roman"/>
                <w:sz w:val="24"/>
                <w:szCs w:val="24"/>
              </w:rPr>
              <w:t>зчерпателен</w:t>
            </w:r>
            <w:r w:rsidR="00415C68" w:rsidRPr="008F47B0">
              <w:rPr>
                <w:rFonts w:ascii="Times New Roman" w:hAnsi="Times New Roman"/>
                <w:sz w:val="24"/>
                <w:szCs w:val="24"/>
                <w:lang w:val="ru-RU"/>
              </w:rPr>
              <w:t xml:space="preserve">) </w:t>
            </w:r>
            <w:r w:rsidR="00415C68" w:rsidRPr="004C512A">
              <w:rPr>
                <w:rFonts w:ascii="Times New Roman" w:hAnsi="Times New Roman"/>
                <w:sz w:val="24"/>
                <w:szCs w:val="24"/>
              </w:rPr>
              <w:t xml:space="preserve">списък на мерки за реконструкция/модернизация на обекти, машини и подходящи за закупуване средства за колективна защита, съобразно идентифицираните рискове. </w:t>
            </w:r>
          </w:p>
          <w:p w14:paraId="29889032" w14:textId="77777777" w:rsidR="00415C68" w:rsidRPr="004C512A" w:rsidRDefault="000A0621" w:rsidP="00415C68">
            <w:pPr>
              <w:pStyle w:val="Default"/>
              <w:jc w:val="both"/>
            </w:pPr>
            <w:r>
              <w:t xml:space="preserve">         </w:t>
            </w:r>
            <w:r w:rsidR="00415C68" w:rsidRPr="004C512A">
              <w:t xml:space="preserve">1. Защита от прах, токсични и други вредни вещества: </w:t>
            </w:r>
          </w:p>
          <w:p w14:paraId="771093EB" w14:textId="77777777" w:rsidR="00415C68" w:rsidRPr="004C512A" w:rsidRDefault="000A0621" w:rsidP="00415C68">
            <w:pPr>
              <w:pStyle w:val="Default"/>
              <w:jc w:val="both"/>
            </w:pPr>
            <w:r>
              <w:t xml:space="preserve">         </w:t>
            </w:r>
            <w:r w:rsidR="00415C68" w:rsidRPr="004C512A">
              <w:t xml:space="preserve">- локална аспирационна система при източника на отделяне на вредни вещества; </w:t>
            </w:r>
          </w:p>
          <w:p w14:paraId="5207A2B2" w14:textId="77777777" w:rsidR="00415C68" w:rsidRPr="004C512A" w:rsidRDefault="000A0621" w:rsidP="00415C68">
            <w:pPr>
              <w:pStyle w:val="Default"/>
              <w:jc w:val="both"/>
            </w:pPr>
            <w:r>
              <w:t xml:space="preserve">         </w:t>
            </w:r>
            <w:r w:rsidR="00415C68" w:rsidRPr="004C512A">
              <w:t xml:space="preserve">- нагнетателна вентилационна система за чист въздух в работното помещение; </w:t>
            </w:r>
          </w:p>
          <w:p w14:paraId="09F9581D" w14:textId="77777777" w:rsidR="00415C68" w:rsidRPr="004C512A" w:rsidRDefault="000A0621" w:rsidP="00415C68">
            <w:pPr>
              <w:pStyle w:val="Default"/>
              <w:jc w:val="both"/>
            </w:pPr>
            <w:r>
              <w:t xml:space="preserve">         </w:t>
            </w:r>
            <w:r w:rsidR="00415C68" w:rsidRPr="004C512A">
              <w:t xml:space="preserve">- вакуумни системи за почистване с цел намаляване на вторичните източници на </w:t>
            </w:r>
          </w:p>
          <w:p w14:paraId="3DB61505" w14:textId="77777777" w:rsidR="00415C68" w:rsidRPr="004C512A" w:rsidRDefault="00415C68" w:rsidP="00415C68">
            <w:pPr>
              <w:pStyle w:val="Default"/>
              <w:jc w:val="both"/>
            </w:pPr>
            <w:r w:rsidRPr="004C512A">
              <w:t xml:space="preserve">замърсяване; </w:t>
            </w:r>
          </w:p>
          <w:p w14:paraId="0D513B68" w14:textId="77777777" w:rsidR="00415C68" w:rsidRPr="004C512A" w:rsidRDefault="000A0621" w:rsidP="00415C68">
            <w:pPr>
              <w:pStyle w:val="Default"/>
              <w:jc w:val="both"/>
            </w:pPr>
            <w:r>
              <w:t xml:space="preserve">         </w:t>
            </w:r>
            <w:r w:rsidR="00415C68" w:rsidRPr="004C512A">
              <w:t xml:space="preserve">- аварийни вентилационни системи; </w:t>
            </w:r>
          </w:p>
          <w:p w14:paraId="0060CF6A" w14:textId="77777777" w:rsidR="00415C68" w:rsidRPr="004C512A" w:rsidRDefault="00415C68" w:rsidP="00415C68">
            <w:pPr>
              <w:pStyle w:val="Default"/>
              <w:jc w:val="both"/>
            </w:pPr>
            <w:r w:rsidRPr="004C512A">
              <w:t xml:space="preserve">2. Защита от наднормен шум </w:t>
            </w:r>
          </w:p>
          <w:p w14:paraId="1D01C5B0" w14:textId="77777777" w:rsidR="00415C68" w:rsidRPr="004C512A" w:rsidRDefault="000A0621" w:rsidP="00415C68">
            <w:pPr>
              <w:pStyle w:val="Default"/>
              <w:jc w:val="both"/>
            </w:pPr>
            <w:r>
              <w:t xml:space="preserve">         </w:t>
            </w:r>
            <w:r w:rsidR="00415C68" w:rsidRPr="004C512A">
              <w:t xml:space="preserve">- защитни прегради, ограждения, шумопоглъщащи покрития на стени и тавани; </w:t>
            </w:r>
          </w:p>
          <w:p w14:paraId="6809C2E9" w14:textId="77777777" w:rsidR="00415C68" w:rsidRPr="004C512A" w:rsidRDefault="000A0621" w:rsidP="00415C68">
            <w:pPr>
              <w:pStyle w:val="Default"/>
              <w:jc w:val="both"/>
            </w:pPr>
            <w:r>
              <w:t xml:space="preserve">         </w:t>
            </w:r>
            <w:r w:rsidR="00415C68" w:rsidRPr="004C512A">
              <w:t xml:space="preserve">- заглушаване или изолация на стените и таваните на работните пощения, в т.ч. екрани, кожуси, и др. ограждения около източниците на производствен шум; </w:t>
            </w:r>
          </w:p>
          <w:p w14:paraId="598741EE" w14:textId="77777777" w:rsidR="00415C68" w:rsidRPr="004C512A" w:rsidRDefault="000A0621" w:rsidP="00415C68">
            <w:pPr>
              <w:pStyle w:val="Default"/>
              <w:jc w:val="both"/>
            </w:pPr>
            <w:r>
              <w:t xml:space="preserve">        </w:t>
            </w:r>
            <w:r w:rsidR="00415C68" w:rsidRPr="004C512A">
              <w:t xml:space="preserve">- звукоизолирани кабини за работещите в производствени помещения с наднормен шум; </w:t>
            </w:r>
          </w:p>
          <w:p w14:paraId="34F926C5" w14:textId="77777777" w:rsidR="00415C68" w:rsidRPr="004C512A" w:rsidRDefault="00415C68" w:rsidP="00415C68">
            <w:pPr>
              <w:pStyle w:val="Default"/>
              <w:jc w:val="both"/>
            </w:pPr>
            <w:r w:rsidRPr="004C512A">
              <w:t xml:space="preserve">3. Защита от вибрации при работа </w:t>
            </w:r>
          </w:p>
          <w:p w14:paraId="55512F34" w14:textId="77777777" w:rsidR="00415C68" w:rsidRPr="004C512A" w:rsidRDefault="00415C68" w:rsidP="00415C68">
            <w:pPr>
              <w:pStyle w:val="Default"/>
              <w:jc w:val="both"/>
            </w:pPr>
            <w:r w:rsidRPr="004C512A">
              <w:t xml:space="preserve">- поставяне на фундамент (различен от този на производственото помещение) под източника на вибрации, демпфериране на вибриращите машини; </w:t>
            </w:r>
          </w:p>
          <w:p w14:paraId="268CBD5A" w14:textId="77777777" w:rsidR="00415C68" w:rsidRPr="008E27C7" w:rsidRDefault="00415C68" w:rsidP="00415C68">
            <w:pPr>
              <w:pStyle w:val="Default"/>
              <w:jc w:val="both"/>
            </w:pPr>
            <w:r w:rsidRPr="004C512A">
              <w:t xml:space="preserve">- осигуряване на допълнително оборудване към машините, намаляващо риска от вибрации (седалки, които поглъщат вибрациите; ръкохватки, намаляващи вибрациите и </w:t>
            </w:r>
            <w:r w:rsidRPr="008E27C7">
              <w:t xml:space="preserve">др.); </w:t>
            </w:r>
          </w:p>
          <w:p w14:paraId="0048E8E9" w14:textId="77777777" w:rsidR="00415C68" w:rsidRPr="008E27C7" w:rsidRDefault="00415C68" w:rsidP="00415C68">
            <w:pPr>
              <w:pStyle w:val="Default"/>
              <w:jc w:val="both"/>
            </w:pPr>
            <w:r w:rsidRPr="008E27C7">
              <w:t xml:space="preserve">4. Защита от навлизане в опасна зона </w:t>
            </w:r>
          </w:p>
          <w:p w14:paraId="081BE380" w14:textId="77777777" w:rsidR="00415C68" w:rsidRPr="008E27C7" w:rsidRDefault="00415C68" w:rsidP="00415C68">
            <w:pPr>
              <w:pStyle w:val="Default"/>
              <w:jc w:val="both"/>
            </w:pPr>
            <w:r w:rsidRPr="008E27C7">
              <w:t xml:space="preserve">- ограждения – плътни, мрежести, прозрачни; </w:t>
            </w:r>
          </w:p>
          <w:p w14:paraId="30F36976" w14:textId="77777777" w:rsidR="00415C68" w:rsidRPr="008E27C7" w:rsidRDefault="00415C68" w:rsidP="00415C68">
            <w:pPr>
              <w:pStyle w:val="Default"/>
              <w:jc w:val="both"/>
            </w:pPr>
            <w:r w:rsidRPr="008E27C7">
              <w:t xml:space="preserve">- блокировки – механични, електрически или др.; </w:t>
            </w:r>
          </w:p>
          <w:p w14:paraId="0521B26C" w14:textId="77777777" w:rsidR="00415C68" w:rsidRPr="008E27C7" w:rsidRDefault="00415C68" w:rsidP="00415C68">
            <w:pPr>
              <w:pStyle w:val="Default"/>
              <w:jc w:val="both"/>
            </w:pPr>
            <w:r w:rsidRPr="008E27C7">
              <w:t xml:space="preserve">- ограждения с блокировки; </w:t>
            </w:r>
          </w:p>
          <w:p w14:paraId="78C6864D" w14:textId="77777777" w:rsidR="00415C68" w:rsidRPr="008E27C7" w:rsidRDefault="00415C68" w:rsidP="00415C68">
            <w:pPr>
              <w:pStyle w:val="Default"/>
              <w:jc w:val="both"/>
            </w:pPr>
            <w:r w:rsidRPr="008E27C7">
              <w:t xml:space="preserve">- предпазители; </w:t>
            </w:r>
          </w:p>
          <w:p w14:paraId="731B2ED8" w14:textId="77777777" w:rsidR="00415C68" w:rsidRPr="008E27C7" w:rsidRDefault="00415C68" w:rsidP="00415C68">
            <w:pPr>
              <w:pStyle w:val="Default"/>
              <w:jc w:val="both"/>
            </w:pPr>
            <w:r w:rsidRPr="008E27C7">
              <w:t xml:space="preserve">- предпазители с блокировки; </w:t>
            </w:r>
          </w:p>
          <w:p w14:paraId="74E1083B" w14:textId="77777777" w:rsidR="00415C68" w:rsidRPr="008E27C7" w:rsidRDefault="00415C68" w:rsidP="00415C68">
            <w:pPr>
              <w:pStyle w:val="Default"/>
              <w:jc w:val="both"/>
            </w:pPr>
            <w:r w:rsidRPr="008E27C7">
              <w:t xml:space="preserve">- екрани; </w:t>
            </w:r>
          </w:p>
          <w:p w14:paraId="7805B1B2" w14:textId="77777777" w:rsidR="00415C68" w:rsidRPr="008E27C7" w:rsidRDefault="00415C68" w:rsidP="00415C68">
            <w:pPr>
              <w:pStyle w:val="Default"/>
              <w:jc w:val="both"/>
            </w:pPr>
            <w:r w:rsidRPr="008E27C7">
              <w:t xml:space="preserve">- устройства, оптични и други сензори следящи опасната зона; </w:t>
            </w:r>
          </w:p>
          <w:p w14:paraId="0D7EFA05" w14:textId="77777777" w:rsidR="00415C68" w:rsidRPr="008E27C7" w:rsidRDefault="00415C68" w:rsidP="00415C68">
            <w:pPr>
              <w:pStyle w:val="Default"/>
              <w:jc w:val="both"/>
            </w:pPr>
            <w:r w:rsidRPr="008E27C7">
              <w:t xml:space="preserve">5. Защита от падащи предмети </w:t>
            </w:r>
          </w:p>
          <w:p w14:paraId="5B4A4B23" w14:textId="77777777" w:rsidR="00415C68" w:rsidRPr="008E27C7" w:rsidRDefault="00415C68" w:rsidP="00415C68">
            <w:pPr>
              <w:pStyle w:val="Default"/>
              <w:jc w:val="both"/>
            </w:pPr>
            <w:r w:rsidRPr="008E27C7">
              <w:t xml:space="preserve">- козирки, навеси, прегради; </w:t>
            </w:r>
          </w:p>
          <w:p w14:paraId="4C3155D5" w14:textId="77777777" w:rsidR="00415C68" w:rsidRDefault="00415C68" w:rsidP="003E0095">
            <w:pPr>
              <w:spacing w:after="0" w:line="276" w:lineRule="auto"/>
              <w:jc w:val="both"/>
              <w:rPr>
                <w:rFonts w:ascii="Times New Roman" w:hAnsi="Times New Roman"/>
                <w:sz w:val="24"/>
                <w:szCs w:val="24"/>
              </w:rPr>
            </w:pPr>
            <w:r w:rsidRPr="008E27C7">
              <w:rPr>
                <w:rFonts w:ascii="Times New Roman" w:hAnsi="Times New Roman"/>
                <w:sz w:val="24"/>
                <w:szCs w:val="24"/>
              </w:rPr>
              <w:t xml:space="preserve">тунели; </w:t>
            </w:r>
          </w:p>
          <w:p w14:paraId="1BB6973C" w14:textId="77777777" w:rsidR="00415C68" w:rsidRPr="008E27C7" w:rsidRDefault="00415C68" w:rsidP="003E0095">
            <w:pPr>
              <w:spacing w:after="0" w:line="276" w:lineRule="auto"/>
              <w:jc w:val="both"/>
              <w:rPr>
                <w:rFonts w:ascii="Times New Roman" w:hAnsi="Times New Roman"/>
                <w:sz w:val="24"/>
                <w:szCs w:val="24"/>
              </w:rPr>
            </w:pPr>
            <w:r w:rsidRPr="008E27C7">
              <w:rPr>
                <w:rFonts w:ascii="Times New Roman" w:hAnsi="Times New Roman"/>
                <w:sz w:val="24"/>
                <w:szCs w:val="24"/>
              </w:rPr>
              <w:t xml:space="preserve">- мрежи; </w:t>
            </w:r>
          </w:p>
          <w:p w14:paraId="46D49DE1" w14:textId="77777777" w:rsidR="00415C68" w:rsidRPr="008E27C7" w:rsidRDefault="00415C68" w:rsidP="003E0095">
            <w:pPr>
              <w:pStyle w:val="Default"/>
              <w:jc w:val="both"/>
            </w:pPr>
            <w:r w:rsidRPr="008E27C7">
              <w:t xml:space="preserve">- бордови дъски; </w:t>
            </w:r>
          </w:p>
          <w:p w14:paraId="65B9ACB5" w14:textId="77777777" w:rsidR="00415C68" w:rsidRPr="008E27C7" w:rsidRDefault="00415C68" w:rsidP="00415C68">
            <w:pPr>
              <w:pStyle w:val="Default"/>
              <w:jc w:val="both"/>
            </w:pPr>
            <w:r w:rsidRPr="008E27C7">
              <w:t xml:space="preserve">6. Защита от летящи, изхвърлени частици и/или предмети </w:t>
            </w:r>
          </w:p>
          <w:p w14:paraId="1F239225" w14:textId="77777777" w:rsidR="00415C68" w:rsidRPr="008E27C7" w:rsidRDefault="00415C68" w:rsidP="00415C68">
            <w:pPr>
              <w:pStyle w:val="Default"/>
              <w:jc w:val="both"/>
            </w:pPr>
            <w:r w:rsidRPr="008E27C7">
              <w:lastRenderedPageBreak/>
              <w:t xml:space="preserve">- предпазители; </w:t>
            </w:r>
          </w:p>
          <w:p w14:paraId="32AA489E" w14:textId="77777777" w:rsidR="00415C68" w:rsidRPr="008E27C7" w:rsidRDefault="00415C68" w:rsidP="00415C68">
            <w:pPr>
              <w:pStyle w:val="Default"/>
              <w:jc w:val="both"/>
            </w:pPr>
            <w:r w:rsidRPr="008E27C7">
              <w:t xml:space="preserve">- предпазни екрани; </w:t>
            </w:r>
          </w:p>
          <w:p w14:paraId="49B0B18F" w14:textId="77777777" w:rsidR="00415C68" w:rsidRPr="008E27C7" w:rsidRDefault="00415C68" w:rsidP="00415C68">
            <w:pPr>
              <w:pStyle w:val="Default"/>
              <w:jc w:val="both"/>
            </w:pPr>
            <w:r w:rsidRPr="008E27C7">
              <w:t xml:space="preserve">- паравани, ограждения; </w:t>
            </w:r>
          </w:p>
          <w:p w14:paraId="1A98A4D3" w14:textId="77777777" w:rsidR="00415C68" w:rsidRPr="008E27C7" w:rsidRDefault="00415C68" w:rsidP="00415C68">
            <w:pPr>
              <w:pStyle w:val="Default"/>
              <w:jc w:val="both"/>
            </w:pPr>
            <w:r w:rsidRPr="008E27C7">
              <w:t xml:space="preserve">7. Защита от падане от височина и падане при придвижване по стълби или наклон </w:t>
            </w:r>
          </w:p>
          <w:p w14:paraId="6CF7FF60" w14:textId="77777777" w:rsidR="00415C68" w:rsidRPr="008E27C7" w:rsidRDefault="00415C68" w:rsidP="00415C68">
            <w:pPr>
              <w:pStyle w:val="Default"/>
              <w:jc w:val="both"/>
            </w:pPr>
            <w:r w:rsidRPr="008E27C7">
              <w:t xml:space="preserve">- парапети, перила, бордова дъска; </w:t>
            </w:r>
          </w:p>
          <w:p w14:paraId="010D0615" w14:textId="77777777" w:rsidR="00415C68" w:rsidRPr="008E27C7" w:rsidRDefault="00415C68" w:rsidP="00415C68">
            <w:pPr>
              <w:pStyle w:val="Default"/>
              <w:jc w:val="both"/>
            </w:pPr>
            <w:r w:rsidRPr="008E27C7">
              <w:t xml:space="preserve">- мрежи; </w:t>
            </w:r>
          </w:p>
          <w:p w14:paraId="6BAEFF03" w14:textId="77777777" w:rsidR="00415C68" w:rsidRPr="008E27C7" w:rsidRDefault="00415C68" w:rsidP="00415C68">
            <w:pPr>
              <w:pStyle w:val="Default"/>
              <w:jc w:val="both"/>
            </w:pPr>
            <w:r w:rsidRPr="008E27C7">
              <w:t xml:space="preserve">- осигурителни линии; </w:t>
            </w:r>
          </w:p>
          <w:p w14:paraId="3379F673" w14:textId="77777777" w:rsidR="00415C68" w:rsidRPr="008E27C7" w:rsidRDefault="00415C68" w:rsidP="00415C68">
            <w:pPr>
              <w:pStyle w:val="Default"/>
              <w:jc w:val="both"/>
            </w:pPr>
            <w:r w:rsidRPr="008E27C7">
              <w:t xml:space="preserve">8. Защита от допир до горещи повърхности </w:t>
            </w:r>
          </w:p>
          <w:p w14:paraId="68F06F6B" w14:textId="77777777" w:rsidR="00415C68" w:rsidRPr="008E27C7" w:rsidRDefault="00415C68" w:rsidP="00415C68">
            <w:pPr>
              <w:pStyle w:val="Default"/>
              <w:jc w:val="both"/>
            </w:pPr>
            <w:r w:rsidRPr="008E27C7">
              <w:t xml:space="preserve">- изолиране на зоните; </w:t>
            </w:r>
          </w:p>
          <w:p w14:paraId="6AEF4D4F" w14:textId="77777777" w:rsidR="00415C68" w:rsidRPr="008E27C7" w:rsidRDefault="00415C68" w:rsidP="00415C68">
            <w:pPr>
              <w:pStyle w:val="Default"/>
              <w:jc w:val="both"/>
            </w:pPr>
            <w:r w:rsidRPr="008E27C7">
              <w:t xml:space="preserve">- ограждения, екрани; </w:t>
            </w:r>
          </w:p>
          <w:p w14:paraId="7975D00C" w14:textId="77777777" w:rsidR="00415C68" w:rsidRPr="008E27C7" w:rsidRDefault="00415C68" w:rsidP="00415C68">
            <w:pPr>
              <w:pStyle w:val="Default"/>
              <w:jc w:val="both"/>
            </w:pPr>
            <w:r w:rsidRPr="008E27C7">
              <w:t xml:space="preserve">- изолиращи покрития; </w:t>
            </w:r>
          </w:p>
          <w:p w14:paraId="37BB6268" w14:textId="77777777" w:rsidR="00415C68" w:rsidRPr="008E27C7" w:rsidRDefault="00415C68" w:rsidP="00415C68">
            <w:pPr>
              <w:pStyle w:val="Default"/>
              <w:jc w:val="both"/>
            </w:pPr>
            <w:r w:rsidRPr="008E27C7">
              <w:t xml:space="preserve">9. Защита от потенциално експлозивна атмосфера, защита от опасни пари или аерозоли на химични агенти, прах </w:t>
            </w:r>
          </w:p>
          <w:p w14:paraId="2ABB07F9" w14:textId="77777777" w:rsidR="00415C68" w:rsidRPr="008E27C7" w:rsidRDefault="00415C68" w:rsidP="00415C68">
            <w:pPr>
              <w:pStyle w:val="Default"/>
              <w:jc w:val="both"/>
            </w:pPr>
            <w:r w:rsidRPr="008E27C7">
              <w:t xml:space="preserve">- обща вентилация; </w:t>
            </w:r>
          </w:p>
          <w:p w14:paraId="642DAD47" w14:textId="77777777" w:rsidR="00415C68" w:rsidRPr="008E27C7" w:rsidRDefault="00415C68" w:rsidP="00415C68">
            <w:pPr>
              <w:pStyle w:val="Default"/>
              <w:jc w:val="both"/>
            </w:pPr>
            <w:r w:rsidRPr="008E27C7">
              <w:t xml:space="preserve">- локална аспирация; </w:t>
            </w:r>
          </w:p>
          <w:p w14:paraId="475D641E" w14:textId="77777777" w:rsidR="00415C68" w:rsidRPr="008E27C7" w:rsidRDefault="00415C68" w:rsidP="00415C68">
            <w:pPr>
              <w:pStyle w:val="Default"/>
              <w:jc w:val="both"/>
            </w:pPr>
            <w:r w:rsidRPr="008E27C7">
              <w:t xml:space="preserve">- система от блокировка свързана с техническо средство за анализ на съдържанието на горими газове, пари или частици- газсигнализатори, газанализатори; </w:t>
            </w:r>
          </w:p>
          <w:p w14:paraId="64D6BF3E" w14:textId="77777777" w:rsidR="00415C68" w:rsidRPr="008E27C7" w:rsidRDefault="00415C68" w:rsidP="00415C68">
            <w:pPr>
              <w:pStyle w:val="Default"/>
              <w:jc w:val="both"/>
            </w:pPr>
            <w:r w:rsidRPr="008E27C7">
              <w:t xml:space="preserve">- аварийни душове за промиване на очите на работещите или цялото тяло (не е допустим съпътстващ ремонт на санитарни помещения, зони за отдих и др.); </w:t>
            </w:r>
          </w:p>
          <w:p w14:paraId="1D73A064" w14:textId="77777777" w:rsidR="00415C68" w:rsidRPr="008E27C7" w:rsidRDefault="00415C68" w:rsidP="00415C68">
            <w:pPr>
              <w:pStyle w:val="Default"/>
              <w:jc w:val="both"/>
            </w:pPr>
            <w:r w:rsidRPr="008E27C7">
              <w:t xml:space="preserve">10. Защита от опасни лъчения </w:t>
            </w:r>
          </w:p>
          <w:p w14:paraId="77DCE142" w14:textId="77777777" w:rsidR="00415C68" w:rsidRPr="008E27C7" w:rsidRDefault="00415C68" w:rsidP="00415C68">
            <w:pPr>
              <w:pStyle w:val="Default"/>
              <w:jc w:val="both"/>
            </w:pPr>
            <w:r w:rsidRPr="008E27C7">
              <w:t xml:space="preserve">- предпазни екрани - защитни покрития; </w:t>
            </w:r>
          </w:p>
          <w:p w14:paraId="6FBAA55F" w14:textId="77777777" w:rsidR="00415C68" w:rsidRPr="008E27C7" w:rsidRDefault="00415C68" w:rsidP="00415C68">
            <w:pPr>
              <w:pStyle w:val="Default"/>
              <w:jc w:val="both"/>
            </w:pPr>
            <w:r w:rsidRPr="008E27C7">
              <w:t xml:space="preserve">- система от блокировка, свързана с техническо средство за анализ на работната среда за наличие на вредни емисии - автоматичен контрол; </w:t>
            </w:r>
          </w:p>
          <w:p w14:paraId="66672C37" w14:textId="77777777" w:rsidR="00415C68" w:rsidRPr="008E27C7" w:rsidRDefault="00415C68" w:rsidP="00415C68">
            <w:pPr>
              <w:pStyle w:val="Default"/>
              <w:jc w:val="both"/>
            </w:pPr>
            <w:r w:rsidRPr="008E27C7">
              <w:t xml:space="preserve">- екраниране на лазерните устройства, отстраняващо възникването на опасности за здравето на работещите; </w:t>
            </w:r>
          </w:p>
          <w:p w14:paraId="1F1819D1" w14:textId="77777777" w:rsidR="00415C68" w:rsidRDefault="00415C68" w:rsidP="003E0095">
            <w:pPr>
              <w:spacing w:after="0" w:line="276" w:lineRule="auto"/>
              <w:jc w:val="both"/>
              <w:rPr>
                <w:sz w:val="23"/>
                <w:szCs w:val="23"/>
              </w:rPr>
            </w:pPr>
            <w:r w:rsidRPr="008E27C7">
              <w:rPr>
                <w:rFonts w:ascii="Times New Roman" w:hAnsi="Times New Roman"/>
                <w:sz w:val="24"/>
                <w:szCs w:val="24"/>
              </w:rPr>
              <w:t>- оптически устройства за наблюдение или регулиране на лазерните устройства, така, че да не възниква опасност за здравето в резултат на лазерно лъчение;</w:t>
            </w:r>
            <w:r>
              <w:rPr>
                <w:sz w:val="23"/>
                <w:szCs w:val="23"/>
              </w:rPr>
              <w:t xml:space="preserve"> </w:t>
            </w:r>
          </w:p>
          <w:p w14:paraId="7AA3269D" w14:textId="77777777" w:rsidR="00415C68" w:rsidRPr="00DF343E" w:rsidRDefault="00415C68" w:rsidP="003E0095">
            <w:pPr>
              <w:pStyle w:val="Default"/>
              <w:jc w:val="both"/>
            </w:pPr>
            <w:r w:rsidRPr="00DF343E">
              <w:t xml:space="preserve">11. Защита от електростатични заряди </w:t>
            </w:r>
          </w:p>
          <w:p w14:paraId="600D3E02" w14:textId="77777777" w:rsidR="00415C68" w:rsidRPr="00DF343E" w:rsidRDefault="00415C68" w:rsidP="00415C68">
            <w:pPr>
              <w:pStyle w:val="Default"/>
              <w:jc w:val="both"/>
            </w:pPr>
            <w:r w:rsidRPr="00DF343E">
              <w:t xml:space="preserve">- система за изравняване на потенциалите и заземяване на металните части на работното оборудване и помещението; </w:t>
            </w:r>
          </w:p>
          <w:p w14:paraId="7710BEFF" w14:textId="77777777" w:rsidR="00415C68" w:rsidRPr="00DF343E" w:rsidRDefault="00415C68" w:rsidP="00415C68">
            <w:pPr>
              <w:pStyle w:val="Default"/>
              <w:jc w:val="both"/>
            </w:pPr>
            <w:r w:rsidRPr="00DF343E">
              <w:t xml:space="preserve">- система за оросяване, неутрализиране или йонизиране на атмосферата с цел повишаване проводимостта й; </w:t>
            </w:r>
          </w:p>
          <w:p w14:paraId="587C2888" w14:textId="77777777" w:rsidR="00415C68" w:rsidRPr="00DF343E" w:rsidRDefault="00415C68" w:rsidP="00415C68">
            <w:pPr>
              <w:pStyle w:val="Default"/>
              <w:jc w:val="both"/>
            </w:pPr>
            <w:r w:rsidRPr="00DF343E">
              <w:t xml:space="preserve">- използване на токопроводими подови настилки в производствените помещения; </w:t>
            </w:r>
          </w:p>
          <w:p w14:paraId="2E2BD8D3" w14:textId="77777777" w:rsidR="00415C68" w:rsidRPr="00DF343E" w:rsidRDefault="00415C68" w:rsidP="00415C68">
            <w:pPr>
              <w:pStyle w:val="Default"/>
              <w:jc w:val="both"/>
            </w:pPr>
            <w:r w:rsidRPr="00DF343E">
              <w:t xml:space="preserve">12. Защита от електромагнитни полета </w:t>
            </w:r>
          </w:p>
          <w:p w14:paraId="6329F450" w14:textId="77777777" w:rsidR="00415C68" w:rsidRPr="00DF343E" w:rsidRDefault="00415C68" w:rsidP="00415C68">
            <w:pPr>
              <w:pStyle w:val="Default"/>
              <w:jc w:val="both"/>
            </w:pPr>
            <w:r w:rsidRPr="00DF343E">
              <w:t xml:space="preserve">- излъчващите елементи се екранират поотделно, като генераторът се екранира с общ екран; </w:t>
            </w:r>
          </w:p>
          <w:p w14:paraId="5B8E7CD9" w14:textId="77777777" w:rsidR="00415C68" w:rsidRPr="00DF343E" w:rsidRDefault="00415C68" w:rsidP="00415C68">
            <w:pPr>
              <w:pStyle w:val="Default"/>
              <w:jc w:val="both"/>
            </w:pPr>
            <w:r w:rsidRPr="00DF343E">
              <w:t xml:space="preserve">- екраниране с плътен материал или с метална мрежа; </w:t>
            </w:r>
          </w:p>
          <w:p w14:paraId="04587E3B" w14:textId="77777777" w:rsidR="00415C68" w:rsidRPr="00DF343E" w:rsidRDefault="00415C68" w:rsidP="00415C68">
            <w:pPr>
              <w:pStyle w:val="Default"/>
              <w:jc w:val="both"/>
            </w:pPr>
            <w:r w:rsidRPr="00DF343E">
              <w:t xml:space="preserve">- предупредителна сигнализация или блокировка; </w:t>
            </w:r>
          </w:p>
          <w:p w14:paraId="51EF5867" w14:textId="77777777" w:rsidR="00415C68" w:rsidRPr="00DF343E" w:rsidRDefault="00415C68" w:rsidP="00415C68">
            <w:pPr>
              <w:pStyle w:val="Default"/>
              <w:jc w:val="both"/>
            </w:pPr>
            <w:r w:rsidRPr="00DF343E">
              <w:t xml:space="preserve">13. Защита от неблагоприятен микроклимат </w:t>
            </w:r>
          </w:p>
          <w:p w14:paraId="661F3F62" w14:textId="77777777" w:rsidR="00415C68" w:rsidRPr="00DF343E" w:rsidRDefault="00415C68" w:rsidP="00415C68">
            <w:pPr>
              <w:pStyle w:val="Default"/>
              <w:jc w:val="both"/>
            </w:pPr>
            <w:r w:rsidRPr="00DF343E">
              <w:t xml:space="preserve">- системи подобряващи микроклимата – температура, влажност, скорост на въздушното течение; </w:t>
            </w:r>
          </w:p>
          <w:p w14:paraId="57CF75E1" w14:textId="77777777" w:rsidR="00415C68" w:rsidRPr="00DF343E" w:rsidRDefault="00415C68" w:rsidP="00415C68">
            <w:pPr>
              <w:pStyle w:val="Default"/>
              <w:jc w:val="both"/>
            </w:pPr>
            <w:r w:rsidRPr="00DF343E">
              <w:t xml:space="preserve">- вентилационни системи за осигуряване на свеж въздух /нагнетателна вентилационна система/; </w:t>
            </w:r>
          </w:p>
          <w:p w14:paraId="4CEA2C6D" w14:textId="77777777" w:rsidR="00415C68" w:rsidRPr="00DF343E" w:rsidRDefault="00415C68" w:rsidP="00415C68">
            <w:pPr>
              <w:pStyle w:val="Default"/>
              <w:jc w:val="both"/>
            </w:pPr>
            <w:r w:rsidRPr="00DF343E">
              <w:t xml:space="preserve">- въздушни, механични или водни завеси за относително изолиране на зоните и помещенията с неблагоприятен микроклимат; </w:t>
            </w:r>
          </w:p>
          <w:p w14:paraId="4EB73CD2" w14:textId="77777777" w:rsidR="00415C68" w:rsidRPr="00DF343E" w:rsidRDefault="00415C68" w:rsidP="00415C68">
            <w:pPr>
              <w:pStyle w:val="Default"/>
              <w:jc w:val="both"/>
            </w:pPr>
            <w:r w:rsidRPr="00DF343E">
              <w:t xml:space="preserve">- подмяна на дограма; </w:t>
            </w:r>
          </w:p>
          <w:p w14:paraId="66A51B5B" w14:textId="77777777" w:rsidR="00415C68" w:rsidRPr="00DF343E" w:rsidRDefault="00415C68" w:rsidP="00415C68">
            <w:pPr>
              <w:pStyle w:val="Default"/>
              <w:jc w:val="both"/>
            </w:pPr>
            <w:r w:rsidRPr="00DF343E">
              <w:t xml:space="preserve">- изграждане на окачени тавани с цел намаляване обема на помещенията; </w:t>
            </w:r>
          </w:p>
          <w:p w14:paraId="67174E71" w14:textId="77777777" w:rsidR="00415C68" w:rsidRPr="00DF343E" w:rsidRDefault="00415C68" w:rsidP="00415C68">
            <w:pPr>
              <w:pStyle w:val="Default"/>
              <w:jc w:val="both"/>
            </w:pPr>
            <w:r w:rsidRPr="00DF343E">
              <w:t xml:space="preserve">- климатични системи/климатици; </w:t>
            </w:r>
          </w:p>
          <w:p w14:paraId="042943D5" w14:textId="77777777" w:rsidR="00415C68" w:rsidRPr="00DF343E" w:rsidRDefault="00415C68" w:rsidP="00415C68">
            <w:pPr>
              <w:pStyle w:val="Default"/>
              <w:jc w:val="both"/>
            </w:pPr>
            <w:r w:rsidRPr="00DF343E">
              <w:t xml:space="preserve">14. Изкопи </w:t>
            </w:r>
          </w:p>
          <w:p w14:paraId="3E1C02BE" w14:textId="77777777" w:rsidR="00415C68" w:rsidRPr="00DF343E" w:rsidRDefault="00415C68" w:rsidP="00415C68">
            <w:pPr>
              <w:pStyle w:val="Default"/>
              <w:jc w:val="both"/>
            </w:pPr>
            <w:r w:rsidRPr="00DF343E">
              <w:lastRenderedPageBreak/>
              <w:t xml:space="preserve">- платна за защитни системи за изкопи; </w:t>
            </w:r>
          </w:p>
          <w:p w14:paraId="53A20DFC" w14:textId="77777777" w:rsidR="00415C68" w:rsidRPr="00DF343E" w:rsidRDefault="00415C68" w:rsidP="00415C68">
            <w:pPr>
              <w:pStyle w:val="Default"/>
              <w:jc w:val="both"/>
            </w:pPr>
            <w:r w:rsidRPr="00DF343E">
              <w:t xml:space="preserve">- технически средства за ограждане и сигнализиране на изкопите, когато това се изисква; </w:t>
            </w:r>
          </w:p>
          <w:p w14:paraId="0AFF6A05" w14:textId="77777777" w:rsidR="00415C68" w:rsidRPr="00DF343E" w:rsidRDefault="00415C68" w:rsidP="00415C68">
            <w:pPr>
              <w:pStyle w:val="Default"/>
              <w:jc w:val="both"/>
            </w:pPr>
            <w:r w:rsidRPr="00DF343E">
              <w:t xml:space="preserve">- газсигнализатори; </w:t>
            </w:r>
          </w:p>
          <w:p w14:paraId="039303C2" w14:textId="77777777" w:rsidR="00415C68" w:rsidRPr="00DF343E" w:rsidRDefault="00415C68" w:rsidP="00415C68">
            <w:pPr>
              <w:pStyle w:val="Default"/>
              <w:jc w:val="both"/>
            </w:pPr>
            <w:r w:rsidRPr="00DF343E">
              <w:t xml:space="preserve">15. Защита от пожар и взрив </w:t>
            </w:r>
          </w:p>
          <w:p w14:paraId="3A03D6F5" w14:textId="77777777" w:rsidR="00415C68" w:rsidRPr="00DF343E" w:rsidRDefault="00415C68" w:rsidP="00415C68">
            <w:pPr>
              <w:pStyle w:val="Default"/>
              <w:jc w:val="both"/>
            </w:pPr>
            <w:r w:rsidRPr="00DF343E">
              <w:t xml:space="preserve">- система от хидранти, шлангове със струйници; </w:t>
            </w:r>
          </w:p>
          <w:p w14:paraId="405A58A9" w14:textId="77777777" w:rsidR="00415C68" w:rsidRPr="00DF343E" w:rsidRDefault="00415C68" w:rsidP="00415C68">
            <w:pPr>
              <w:pStyle w:val="Default"/>
              <w:jc w:val="both"/>
            </w:pPr>
            <w:r w:rsidRPr="00DF343E">
              <w:t xml:space="preserve">- автоматична пожарогасителна инсталация; </w:t>
            </w:r>
          </w:p>
          <w:p w14:paraId="65081532" w14:textId="77777777" w:rsidR="00415C68" w:rsidRPr="00DF343E" w:rsidRDefault="00415C68" w:rsidP="00415C68">
            <w:pPr>
              <w:pStyle w:val="Default"/>
              <w:jc w:val="both"/>
            </w:pPr>
            <w:r w:rsidRPr="00DF343E">
              <w:t xml:space="preserve">- пожароизвестителна инсталация; </w:t>
            </w:r>
          </w:p>
          <w:p w14:paraId="02221C26" w14:textId="77777777" w:rsidR="00415C68" w:rsidRPr="00DF343E" w:rsidRDefault="00415C68" w:rsidP="00415C68">
            <w:pPr>
              <w:pStyle w:val="Default"/>
              <w:jc w:val="both"/>
            </w:pPr>
            <w:r w:rsidRPr="00DF343E">
              <w:t xml:space="preserve">- автоматични газанализатори; </w:t>
            </w:r>
          </w:p>
          <w:p w14:paraId="719E9061" w14:textId="77777777" w:rsidR="00415C68" w:rsidRPr="00DF343E" w:rsidRDefault="00415C68" w:rsidP="00415C68">
            <w:pPr>
              <w:pStyle w:val="Default"/>
              <w:jc w:val="both"/>
            </w:pPr>
            <w:r w:rsidRPr="00DF343E">
              <w:t xml:space="preserve">- мълниезащитна инсталация; </w:t>
            </w:r>
          </w:p>
          <w:p w14:paraId="6B15CA61" w14:textId="77777777" w:rsidR="00415C68" w:rsidRPr="00DF343E" w:rsidRDefault="00415C68" w:rsidP="003E0095">
            <w:pPr>
              <w:spacing w:after="0" w:line="276" w:lineRule="auto"/>
              <w:jc w:val="both"/>
              <w:rPr>
                <w:rFonts w:ascii="Times New Roman" w:hAnsi="Times New Roman"/>
                <w:sz w:val="24"/>
                <w:szCs w:val="24"/>
              </w:rPr>
            </w:pPr>
            <w:r w:rsidRPr="00DF343E">
              <w:rPr>
                <w:rFonts w:ascii="Times New Roman" w:hAnsi="Times New Roman"/>
                <w:sz w:val="24"/>
                <w:szCs w:val="24"/>
              </w:rPr>
              <w:t xml:space="preserve">16. Защита при работа в ограничени пространства </w:t>
            </w:r>
          </w:p>
          <w:p w14:paraId="3E01E6CC" w14:textId="77777777" w:rsidR="00415C68" w:rsidRPr="00DF343E" w:rsidRDefault="00415C68" w:rsidP="003E0095">
            <w:pPr>
              <w:pStyle w:val="Default"/>
              <w:jc w:val="both"/>
            </w:pPr>
            <w:r w:rsidRPr="00DF343E">
              <w:t xml:space="preserve">- полиспастни системи за спасяване; </w:t>
            </w:r>
          </w:p>
          <w:p w14:paraId="69FFE7D0" w14:textId="77777777" w:rsidR="00415C68" w:rsidRPr="00DF343E" w:rsidRDefault="00415C68" w:rsidP="00415C68">
            <w:pPr>
              <w:pStyle w:val="Default"/>
              <w:jc w:val="both"/>
            </w:pPr>
            <w:r w:rsidRPr="00DF343E">
              <w:t xml:space="preserve">- газсигнализатори; </w:t>
            </w:r>
          </w:p>
          <w:p w14:paraId="196D1040" w14:textId="77777777" w:rsidR="00415C68" w:rsidRPr="00DF343E" w:rsidRDefault="00415C68" w:rsidP="00415C68">
            <w:pPr>
              <w:pStyle w:val="Default"/>
              <w:jc w:val="both"/>
            </w:pPr>
            <w:r w:rsidRPr="00DF343E">
              <w:t xml:space="preserve">17. Защита при аварии и природни бедствия </w:t>
            </w:r>
          </w:p>
          <w:p w14:paraId="08151A21" w14:textId="77777777" w:rsidR="00415C68" w:rsidRPr="00DF343E" w:rsidRDefault="00415C68" w:rsidP="00415C68">
            <w:pPr>
              <w:pStyle w:val="Default"/>
              <w:jc w:val="both"/>
            </w:pPr>
            <w:r w:rsidRPr="00DF343E">
              <w:t xml:space="preserve">- система за аварийно известяване с цел евакуация; </w:t>
            </w:r>
          </w:p>
          <w:p w14:paraId="2C982447" w14:textId="77777777" w:rsidR="00415C68" w:rsidRPr="00DF343E" w:rsidRDefault="00415C68" w:rsidP="00415C68">
            <w:pPr>
              <w:pStyle w:val="Default"/>
              <w:jc w:val="both"/>
            </w:pPr>
            <w:r w:rsidRPr="00DF343E">
              <w:t xml:space="preserve">18. Електробезопасност </w:t>
            </w:r>
          </w:p>
          <w:p w14:paraId="63B48BC9" w14:textId="77777777" w:rsidR="00415C68" w:rsidRPr="00DF343E" w:rsidRDefault="00415C68" w:rsidP="00415C68">
            <w:pPr>
              <w:pStyle w:val="Default"/>
              <w:jc w:val="both"/>
            </w:pPr>
            <w:r w:rsidRPr="00DF343E">
              <w:t xml:space="preserve">- изолиращи щанги; </w:t>
            </w:r>
          </w:p>
          <w:p w14:paraId="20638F9D" w14:textId="77777777" w:rsidR="00415C68" w:rsidRPr="00DF343E" w:rsidRDefault="00415C68" w:rsidP="00415C68">
            <w:pPr>
              <w:pStyle w:val="Default"/>
              <w:jc w:val="both"/>
            </w:pPr>
            <w:r w:rsidRPr="00DF343E">
              <w:t xml:space="preserve">- изолиращи стълби; </w:t>
            </w:r>
          </w:p>
          <w:p w14:paraId="26893B99" w14:textId="77777777" w:rsidR="00415C68" w:rsidRPr="00DF343E" w:rsidRDefault="00415C68" w:rsidP="00415C68">
            <w:pPr>
              <w:pStyle w:val="Default"/>
              <w:jc w:val="both"/>
            </w:pPr>
            <w:r w:rsidRPr="00DF343E">
              <w:t xml:space="preserve">- изолиращи площадки; </w:t>
            </w:r>
          </w:p>
          <w:p w14:paraId="79C033F2" w14:textId="77777777" w:rsidR="00415C68" w:rsidRPr="00DF343E" w:rsidRDefault="00415C68" w:rsidP="00415C68">
            <w:pPr>
              <w:pStyle w:val="Default"/>
              <w:jc w:val="both"/>
            </w:pPr>
            <w:r w:rsidRPr="00DF343E">
              <w:t xml:space="preserve">- диелектрични килимчета; </w:t>
            </w:r>
          </w:p>
          <w:p w14:paraId="5D95C32C" w14:textId="77777777" w:rsidR="00415C68" w:rsidRPr="00DF343E" w:rsidRDefault="00415C68" w:rsidP="00415C68">
            <w:pPr>
              <w:pStyle w:val="Default"/>
              <w:jc w:val="both"/>
            </w:pPr>
            <w:r w:rsidRPr="00DF343E">
              <w:t xml:space="preserve">- предпазни екрани; </w:t>
            </w:r>
          </w:p>
          <w:p w14:paraId="556D5D5A" w14:textId="77777777" w:rsidR="00415C68" w:rsidRPr="00DF343E" w:rsidRDefault="00415C68" w:rsidP="00415C68">
            <w:pPr>
              <w:pStyle w:val="Default"/>
              <w:jc w:val="both"/>
            </w:pPr>
            <w:r w:rsidRPr="00DF343E">
              <w:t xml:space="preserve">- временни ограждения; </w:t>
            </w:r>
          </w:p>
          <w:p w14:paraId="5FA334E3" w14:textId="77777777" w:rsidR="00415C68" w:rsidRPr="00DF343E" w:rsidRDefault="00415C68" w:rsidP="00415C68">
            <w:pPr>
              <w:pStyle w:val="Default"/>
              <w:jc w:val="both"/>
            </w:pPr>
            <w:r w:rsidRPr="00DF343E">
              <w:t xml:space="preserve">- преносими заземители; </w:t>
            </w:r>
          </w:p>
          <w:p w14:paraId="1330D796" w14:textId="77777777" w:rsidR="00415C68" w:rsidRPr="00DF343E" w:rsidRDefault="00415C68" w:rsidP="00415C68">
            <w:pPr>
              <w:pStyle w:val="Default"/>
              <w:jc w:val="both"/>
            </w:pPr>
            <w:r w:rsidRPr="00DF343E">
              <w:t xml:space="preserve">- изолиращи щанги за преносими заземители; </w:t>
            </w:r>
          </w:p>
          <w:p w14:paraId="53CB5747" w14:textId="77777777" w:rsidR="00415C68" w:rsidRPr="00DF343E" w:rsidRDefault="00415C68" w:rsidP="00415C68">
            <w:pPr>
              <w:pStyle w:val="Default"/>
              <w:jc w:val="both"/>
            </w:pPr>
            <w:r w:rsidRPr="00DF343E">
              <w:t xml:space="preserve">- изолиращи оперативни щанги; </w:t>
            </w:r>
          </w:p>
          <w:p w14:paraId="3AE02B11" w14:textId="77777777" w:rsidR="00415C68" w:rsidRPr="00DF343E" w:rsidRDefault="00415C68" w:rsidP="00415C68">
            <w:pPr>
              <w:pStyle w:val="Default"/>
              <w:jc w:val="both"/>
            </w:pPr>
            <w:r w:rsidRPr="00DF343E">
              <w:t xml:space="preserve">19. Защита от биологични агенти в работната среда </w:t>
            </w:r>
          </w:p>
          <w:p w14:paraId="44E0F0B6" w14:textId="77777777" w:rsidR="00415C68" w:rsidRPr="00DF343E" w:rsidRDefault="00415C68" w:rsidP="00415C68">
            <w:pPr>
              <w:pStyle w:val="Default"/>
              <w:jc w:val="both"/>
            </w:pPr>
            <w:r w:rsidRPr="00DF343E">
              <w:t xml:space="preserve">- подходяща вентилация (общообменна, измукваща и вкарваща- нагнетяваща); </w:t>
            </w:r>
          </w:p>
          <w:p w14:paraId="047F3F2D" w14:textId="77777777" w:rsidR="00415C68" w:rsidRPr="00DF343E" w:rsidRDefault="00415C68" w:rsidP="00415C68">
            <w:pPr>
              <w:pStyle w:val="Default"/>
              <w:jc w:val="both"/>
            </w:pPr>
            <w:r w:rsidRPr="00DF343E">
              <w:t xml:space="preserve">20. Ергономия при работа – приоритетно за хора с увреждания </w:t>
            </w:r>
          </w:p>
          <w:p w14:paraId="20A758A6" w14:textId="77777777" w:rsidR="00415C68" w:rsidRPr="00DF343E" w:rsidRDefault="00415C68" w:rsidP="00415C68">
            <w:pPr>
              <w:pStyle w:val="Default"/>
              <w:jc w:val="both"/>
            </w:pPr>
            <w:r w:rsidRPr="00DF343E">
              <w:t xml:space="preserve">- ергономични офис столове; </w:t>
            </w:r>
          </w:p>
          <w:p w14:paraId="4F008DBA" w14:textId="77777777" w:rsidR="00415C68" w:rsidRPr="00DF343E" w:rsidRDefault="00415C68" w:rsidP="003E0095">
            <w:pPr>
              <w:spacing w:after="0" w:line="276" w:lineRule="auto"/>
              <w:jc w:val="both"/>
              <w:rPr>
                <w:sz w:val="24"/>
                <w:szCs w:val="24"/>
              </w:rPr>
            </w:pPr>
            <w:r w:rsidRPr="00DF343E">
              <w:rPr>
                <w:rFonts w:ascii="Times New Roman" w:hAnsi="Times New Roman"/>
                <w:sz w:val="24"/>
                <w:szCs w:val="24"/>
              </w:rPr>
              <w:t>- ергономични работни столове.</w:t>
            </w:r>
            <w:r w:rsidRPr="00DF343E">
              <w:rPr>
                <w:sz w:val="24"/>
                <w:szCs w:val="24"/>
              </w:rPr>
              <w:t xml:space="preserve"> </w:t>
            </w:r>
          </w:p>
          <w:p w14:paraId="634A05F7" w14:textId="77777777" w:rsidR="00586AB4" w:rsidRDefault="00586AB4" w:rsidP="00E24B60">
            <w:pPr>
              <w:tabs>
                <w:tab w:val="left" w:pos="177"/>
                <w:tab w:val="left" w:pos="248"/>
              </w:tabs>
              <w:spacing w:after="0" w:line="276" w:lineRule="auto"/>
              <w:jc w:val="both"/>
              <w:rPr>
                <w:rFonts w:ascii="Times New Roman" w:hAnsi="Times New Roman"/>
                <w:sz w:val="24"/>
                <w:szCs w:val="24"/>
              </w:rPr>
            </w:pPr>
          </w:p>
          <w:p w14:paraId="29D3B610" w14:textId="77777777" w:rsidR="007A799F" w:rsidRDefault="007A799F" w:rsidP="00586AB4">
            <w:pPr>
              <w:tabs>
                <w:tab w:val="left" w:pos="177"/>
                <w:tab w:val="left" w:pos="248"/>
              </w:tabs>
              <w:spacing w:after="0" w:line="276" w:lineRule="auto"/>
              <w:jc w:val="both"/>
              <w:rPr>
                <w:rFonts w:ascii="Times New Roman" w:hAnsi="Times New Roman"/>
                <w:b/>
                <w:sz w:val="24"/>
                <w:szCs w:val="24"/>
              </w:rPr>
            </w:pPr>
          </w:p>
          <w:p w14:paraId="39FC5BC7" w14:textId="77777777" w:rsidR="007A799F" w:rsidRPr="00CE0058" w:rsidRDefault="007A799F" w:rsidP="007A799F">
            <w:pPr>
              <w:shd w:val="clear" w:color="auto" w:fill="BDD6EE"/>
              <w:spacing w:line="276" w:lineRule="auto"/>
              <w:jc w:val="both"/>
              <w:rPr>
                <w:rFonts w:ascii="Times New Roman" w:hAnsi="Times New Roman"/>
                <w:sz w:val="24"/>
                <w:szCs w:val="24"/>
              </w:rPr>
            </w:pPr>
            <w:r w:rsidRPr="00CE0058">
              <w:rPr>
                <w:rFonts w:ascii="Times New Roman" w:hAnsi="Times New Roman"/>
                <w:sz w:val="24"/>
                <w:szCs w:val="24"/>
              </w:rPr>
              <w:t>В случай че за нуждите и целите на проекта и осигуряването на колективни средства за защита е необходимо да се извърши основен ремонт, кандидатът представя преди стартиране на ремонтните дейности копие от издадено и влязло в сила разрешение за строеж (заверено „вярно с оригинала”) или писмо от главния архитект на общината, че за обекта не се изисква разрешение за строеж (важи за обект, за който по ЗУТ не се изисква разрешение за строеж).</w:t>
            </w:r>
          </w:p>
          <w:p w14:paraId="2159C493" w14:textId="77777777" w:rsidR="007A799F" w:rsidRDefault="007A799F" w:rsidP="00586AB4">
            <w:pPr>
              <w:tabs>
                <w:tab w:val="left" w:pos="177"/>
                <w:tab w:val="left" w:pos="248"/>
              </w:tabs>
              <w:spacing w:after="0" w:line="276" w:lineRule="auto"/>
              <w:jc w:val="both"/>
              <w:rPr>
                <w:rFonts w:ascii="Times New Roman" w:hAnsi="Times New Roman"/>
                <w:b/>
                <w:sz w:val="24"/>
                <w:szCs w:val="24"/>
              </w:rPr>
            </w:pPr>
          </w:p>
          <w:p w14:paraId="0BD708BB" w14:textId="46D0F60A" w:rsidR="00682C5E" w:rsidRPr="008F47B0" w:rsidRDefault="00925FBB" w:rsidP="00586AB4">
            <w:pPr>
              <w:tabs>
                <w:tab w:val="left" w:pos="177"/>
                <w:tab w:val="left" w:pos="248"/>
              </w:tabs>
              <w:spacing w:after="0" w:line="276" w:lineRule="auto"/>
              <w:jc w:val="both"/>
              <w:rPr>
                <w:rFonts w:ascii="Times New Roman" w:hAnsi="Times New Roman"/>
                <w:sz w:val="24"/>
                <w:szCs w:val="24"/>
                <w:lang w:val="ru-RU"/>
              </w:rPr>
            </w:pPr>
            <w:r w:rsidRPr="004058DB">
              <w:rPr>
                <w:rFonts w:ascii="Times New Roman" w:hAnsi="Times New Roman"/>
                <w:b/>
                <w:sz w:val="24"/>
                <w:szCs w:val="24"/>
              </w:rPr>
              <w:t>3</w:t>
            </w:r>
            <w:r w:rsidR="00E24B60" w:rsidRPr="004058DB">
              <w:rPr>
                <w:rFonts w:ascii="Times New Roman" w:hAnsi="Times New Roman"/>
                <w:b/>
                <w:color w:val="00B0F0"/>
                <w:sz w:val="24"/>
                <w:szCs w:val="24"/>
              </w:rPr>
              <w:t>.</w:t>
            </w:r>
            <w:r w:rsidR="00E24B60" w:rsidRPr="004058DB">
              <w:rPr>
                <w:rFonts w:ascii="Times New Roman" w:hAnsi="Times New Roman"/>
                <w:b/>
                <w:sz w:val="24"/>
                <w:szCs w:val="24"/>
              </w:rPr>
              <w:t>2.</w:t>
            </w:r>
            <w:r w:rsidR="003B12FC">
              <w:rPr>
                <w:rFonts w:ascii="Times New Roman" w:hAnsi="Times New Roman"/>
                <w:b/>
                <w:sz w:val="24"/>
                <w:szCs w:val="24"/>
              </w:rPr>
              <w:t xml:space="preserve"> </w:t>
            </w:r>
            <w:r w:rsidR="004F0192" w:rsidRPr="004058DB">
              <w:rPr>
                <w:rFonts w:ascii="Times New Roman" w:hAnsi="Times New Roman"/>
                <w:b/>
                <w:sz w:val="24"/>
                <w:szCs w:val="24"/>
              </w:rPr>
              <w:t>Закупуване на лични предпазни средства</w:t>
            </w:r>
            <w:r w:rsidR="00E24B60" w:rsidRPr="00AA5D12">
              <w:rPr>
                <w:rStyle w:val="FootnoteReference"/>
                <w:rFonts w:ascii="Times New Roman" w:hAnsi="Times New Roman"/>
                <w:b/>
                <w:color w:val="000000"/>
                <w:sz w:val="24"/>
                <w:szCs w:val="24"/>
              </w:rPr>
              <w:footnoteReference w:id="6"/>
            </w:r>
            <w:r w:rsidR="00E24B60" w:rsidRPr="00AA5D12">
              <w:rPr>
                <w:rFonts w:ascii="Times New Roman" w:hAnsi="Times New Roman"/>
                <w:b/>
                <w:color w:val="000000"/>
                <w:sz w:val="24"/>
                <w:szCs w:val="24"/>
              </w:rPr>
              <w:t xml:space="preserve"> </w:t>
            </w:r>
            <w:r w:rsidR="004F0192" w:rsidRPr="00AA5D12">
              <w:rPr>
                <w:rFonts w:ascii="Times New Roman" w:hAnsi="Times New Roman"/>
                <w:b/>
                <w:color w:val="000000"/>
                <w:sz w:val="24"/>
                <w:szCs w:val="24"/>
              </w:rPr>
              <w:t>и специално работно облекло</w:t>
            </w:r>
            <w:r w:rsidR="004F0192" w:rsidRPr="00AA5D12">
              <w:rPr>
                <w:rFonts w:ascii="Times New Roman" w:hAnsi="Times New Roman"/>
                <w:color w:val="000000"/>
                <w:sz w:val="24"/>
                <w:szCs w:val="24"/>
              </w:rPr>
              <w:t>;</w:t>
            </w:r>
            <w:r w:rsidR="004F0192" w:rsidRPr="009704A3">
              <w:rPr>
                <w:rFonts w:ascii="Times New Roman" w:hAnsi="Times New Roman"/>
                <w:sz w:val="24"/>
                <w:szCs w:val="24"/>
              </w:rPr>
              <w:t xml:space="preserve"> </w:t>
            </w:r>
            <w:r w:rsidR="00682C5E" w:rsidRPr="008F47B0">
              <w:rPr>
                <w:rFonts w:ascii="Times New Roman" w:hAnsi="Times New Roman"/>
                <w:sz w:val="24"/>
                <w:szCs w:val="24"/>
                <w:lang w:val="ru-RU"/>
              </w:rPr>
              <w:t>Минимални изисквания:</w:t>
            </w:r>
          </w:p>
          <w:p w14:paraId="5376B2CB" w14:textId="77777777" w:rsidR="00682C5E" w:rsidRPr="008F47B0" w:rsidRDefault="00682C5E" w:rsidP="007A799F">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t>При разписването на тази дейност, кандидатът следва да представи списък на</w:t>
            </w:r>
          </w:p>
          <w:p w14:paraId="0BB5ECD1" w14:textId="77777777" w:rsidR="00682C5E" w:rsidRPr="008F47B0" w:rsidRDefault="00682C5E" w:rsidP="007A799F">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t>работните места и видовете работи, при които е необходимо да се използват ЛПС и/или</w:t>
            </w:r>
          </w:p>
          <w:p w14:paraId="5D4AC3F3" w14:textId="77777777" w:rsidR="00682C5E" w:rsidRPr="008F47B0" w:rsidRDefault="00682C5E" w:rsidP="007A799F">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t>специално работно облекло, утвърден въз основа на извършената оценка на риска на</w:t>
            </w:r>
          </w:p>
          <w:p w14:paraId="184C19B2" w14:textId="77777777" w:rsidR="00682C5E" w:rsidRPr="008F47B0" w:rsidRDefault="00682C5E" w:rsidP="009479BB">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lastRenderedPageBreak/>
              <w:t>работните места. Списъкът следва да отговаря на изискванията, посочени в чл. 17, ал.</w:t>
            </w:r>
          </w:p>
          <w:p w14:paraId="3A828207" w14:textId="77777777" w:rsidR="00682C5E" w:rsidRPr="008F47B0" w:rsidRDefault="00682C5E" w:rsidP="006F7DD9">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t>3, т.1-4 от Наредба № 3 от 19 април 2001 г. за минималните изисквания за безопасност</w:t>
            </w:r>
          </w:p>
          <w:p w14:paraId="3BC32182"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и опазване на здравето на работещите при използване на ЛПС на работното</w:t>
            </w:r>
          </w:p>
          <w:p w14:paraId="47E93F55"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място.</w:t>
            </w:r>
            <w:r w:rsidR="003E0095" w:rsidRPr="00DA668B">
              <w:rPr>
                <w:rFonts w:ascii="Times New Roman" w:hAnsi="Times New Roman"/>
                <w:sz w:val="24"/>
                <w:szCs w:val="24"/>
              </w:rPr>
              <w:t xml:space="preserve"> </w:t>
            </w:r>
            <w:r w:rsidRPr="008F47B0">
              <w:rPr>
                <w:rFonts w:ascii="Times New Roman" w:hAnsi="Times New Roman"/>
                <w:sz w:val="24"/>
                <w:szCs w:val="24"/>
                <w:lang w:val="ru-RU"/>
              </w:rPr>
              <w:t xml:space="preserve">Кандидатът има право да закупи и осигури ЛПС и/или специално работно </w:t>
            </w:r>
          </w:p>
          <w:p w14:paraId="5A2F882E" w14:textId="77777777" w:rsidR="00682C5E" w:rsidRPr="008F47B0" w:rsidRDefault="003E0095" w:rsidP="007A799F">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облекло</w:t>
            </w:r>
            <w:r w:rsidR="00682C5E" w:rsidRPr="008F47B0">
              <w:rPr>
                <w:rFonts w:ascii="Times New Roman" w:hAnsi="Times New Roman"/>
                <w:sz w:val="24"/>
                <w:szCs w:val="24"/>
                <w:lang w:val="ru-RU"/>
              </w:rPr>
              <w:t xml:space="preserve"> за своите служители, като за целта във Формуляра за кандидатстване в</w:t>
            </w:r>
          </w:p>
          <w:p w14:paraId="6C88208E"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описанието на конкретната дейност изрично обоснове нуждата от подмяна и</w:t>
            </w:r>
          </w:p>
          <w:p w14:paraId="3D55CB3E" w14:textId="77777777" w:rsidR="00682C5E" w:rsidRPr="008F47B0" w:rsidRDefault="00682C5E" w:rsidP="009479BB">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закупуване на нови и по-модерни ЛПС и/или специално работно облекло за</w:t>
            </w:r>
          </w:p>
          <w:p w14:paraId="1F62D37B"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нуждите на заетите в предприятието лица. При закупуването на нови ЛПС, които</w:t>
            </w:r>
          </w:p>
          <w:p w14:paraId="2D57D3E0"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предлагат комбинирана защита, т.е. защита, постигана до момента с помощта на</w:t>
            </w:r>
          </w:p>
          <w:p w14:paraId="1D680913"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няколко отделни средства, в описанието на дейността, следва да се посочи точно,</w:t>
            </w:r>
          </w:p>
          <w:p w14:paraId="3B30E96E"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детайлно и изчерпателно, новозакупените ЛПС кои средства за защита от приложения</w:t>
            </w:r>
          </w:p>
          <w:p w14:paraId="5E77FE65"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към проектното предложение Списък на ЛПС ще заменят/надградят. Заложените за</w:t>
            </w:r>
          </w:p>
          <w:p w14:paraId="3C6755F0"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закупуване ЛПС и специално работно облекло, следва да отговарят на точния брой на</w:t>
            </w:r>
          </w:p>
          <w:p w14:paraId="6358AB95"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заетите лица по длъжности, които ползват средствата за защита и да бъдат планирани,</w:t>
            </w:r>
          </w:p>
          <w:p w14:paraId="5BBB5356"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съгласно срока за износване в Списъка на работните места и видовете работи за</w:t>
            </w:r>
          </w:p>
          <w:p w14:paraId="3C78ECC6"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периода на изпълнение на проекта.</w:t>
            </w:r>
          </w:p>
          <w:p w14:paraId="06203C4E"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Допустимо е закупуването на ЛПС и специално работно облекло за периода, планиран</w:t>
            </w:r>
          </w:p>
          <w:p w14:paraId="1DB61DAE"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за изпълнение на проекта, ако съответстват на оценката на риска, вписани са в</w:t>
            </w:r>
          </w:p>
          <w:p w14:paraId="6E9D6F87"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утвърдения списък на работните места и видовете работи, при които се използват ЛПС</w:t>
            </w:r>
          </w:p>
          <w:p w14:paraId="28CC8DA6" w14:textId="77777777" w:rsidR="00682C5E" w:rsidRDefault="00682C5E" w:rsidP="007A799F">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и специално работно облекло и кандидатът е обосновал необходимостта от такива.</w:t>
            </w:r>
          </w:p>
          <w:p w14:paraId="4A62D9AB" w14:textId="77777777" w:rsidR="007A799F" w:rsidRPr="008F47B0" w:rsidRDefault="007A799F" w:rsidP="007A799F">
            <w:pPr>
              <w:tabs>
                <w:tab w:val="left" w:pos="177"/>
                <w:tab w:val="left" w:pos="248"/>
              </w:tabs>
              <w:spacing w:after="0" w:line="276" w:lineRule="auto"/>
              <w:rPr>
                <w:rFonts w:ascii="Times New Roman" w:hAnsi="Times New Roman"/>
                <w:sz w:val="24"/>
                <w:szCs w:val="24"/>
                <w:lang w:val="en-US"/>
              </w:rPr>
            </w:pPr>
          </w:p>
          <w:p w14:paraId="771E2319" w14:textId="77777777" w:rsidR="00682C5E" w:rsidRPr="00CE0058" w:rsidRDefault="00682C5E" w:rsidP="008B1E26">
            <w:pPr>
              <w:pBdr>
                <w:top w:val="single" w:sz="4" w:space="1" w:color="auto"/>
                <w:left w:val="single" w:sz="4" w:space="4" w:color="auto"/>
                <w:bottom w:val="single" w:sz="4" w:space="1" w:color="auto"/>
                <w:right w:val="single" w:sz="4" w:space="4" w:color="auto"/>
              </w:pBdr>
              <w:shd w:val="clear" w:color="auto" w:fill="D9D9D9"/>
              <w:tabs>
                <w:tab w:val="left" w:pos="177"/>
                <w:tab w:val="left" w:pos="248"/>
              </w:tabs>
              <w:spacing w:after="0" w:line="276" w:lineRule="auto"/>
              <w:jc w:val="both"/>
              <w:rPr>
                <w:rFonts w:ascii="Times New Roman" w:hAnsi="Times New Roman"/>
                <w:b/>
                <w:sz w:val="24"/>
                <w:szCs w:val="24"/>
                <w:lang w:val="en-US"/>
              </w:rPr>
            </w:pPr>
            <w:r w:rsidRPr="00CE0058">
              <w:rPr>
                <w:rFonts w:ascii="Times New Roman" w:hAnsi="Times New Roman"/>
                <w:b/>
                <w:sz w:val="24"/>
                <w:szCs w:val="24"/>
                <w:lang w:val="en-US"/>
              </w:rPr>
              <w:t>Недопустимо е закупуването на резервни бройки!</w:t>
            </w:r>
          </w:p>
          <w:p w14:paraId="5A355E62" w14:textId="77777777" w:rsidR="00682C5E" w:rsidRPr="004058DB" w:rsidRDefault="00682C5E" w:rsidP="00682C5E">
            <w:pPr>
              <w:tabs>
                <w:tab w:val="left" w:pos="177"/>
                <w:tab w:val="left" w:pos="248"/>
              </w:tabs>
              <w:spacing w:after="0" w:line="276" w:lineRule="auto"/>
              <w:jc w:val="both"/>
              <w:rPr>
                <w:rFonts w:ascii="Times New Roman" w:hAnsi="Times New Roman"/>
                <w:sz w:val="24"/>
                <w:szCs w:val="24"/>
                <w:lang w:val="ru-RU"/>
              </w:rPr>
            </w:pPr>
            <w:r w:rsidRPr="004058DB">
              <w:rPr>
                <w:rFonts w:ascii="Times New Roman" w:hAnsi="Times New Roman"/>
                <w:sz w:val="24"/>
                <w:szCs w:val="24"/>
                <w:lang w:val="ru-RU"/>
              </w:rPr>
              <w:t>УО няма да признава разходи з</w:t>
            </w:r>
            <w:r w:rsidR="009704A3" w:rsidRPr="004058DB">
              <w:rPr>
                <w:rFonts w:ascii="Times New Roman" w:hAnsi="Times New Roman"/>
                <w:sz w:val="24"/>
                <w:szCs w:val="24"/>
                <w:lang w:val="ru-RU"/>
              </w:rPr>
              <w:t>а закупуване на ЛПС и специално</w:t>
            </w:r>
            <w:r w:rsidR="009704A3" w:rsidRPr="00DA668B">
              <w:rPr>
                <w:rFonts w:ascii="Times New Roman" w:hAnsi="Times New Roman"/>
                <w:sz w:val="24"/>
                <w:szCs w:val="24"/>
              </w:rPr>
              <w:t xml:space="preserve"> </w:t>
            </w:r>
            <w:r w:rsidR="00855FFB">
              <w:rPr>
                <w:rFonts w:ascii="Times New Roman" w:hAnsi="Times New Roman"/>
                <w:sz w:val="24"/>
                <w:szCs w:val="24"/>
              </w:rPr>
              <w:t xml:space="preserve"> </w:t>
            </w:r>
            <w:r w:rsidRPr="004058DB">
              <w:rPr>
                <w:rFonts w:ascii="Times New Roman" w:hAnsi="Times New Roman"/>
                <w:sz w:val="24"/>
                <w:szCs w:val="24"/>
                <w:lang w:val="ru-RU"/>
              </w:rPr>
              <w:t>работно облекло, които вече са закупени</w:t>
            </w:r>
            <w:r w:rsidR="009704A3" w:rsidRPr="004058DB">
              <w:rPr>
                <w:rFonts w:ascii="Times New Roman" w:hAnsi="Times New Roman"/>
                <w:sz w:val="24"/>
                <w:szCs w:val="24"/>
                <w:lang w:val="ru-RU"/>
              </w:rPr>
              <w:t xml:space="preserve"> от кандидата и не е обоснована</w:t>
            </w:r>
            <w:r w:rsidR="009704A3" w:rsidRPr="00DA668B">
              <w:rPr>
                <w:rFonts w:ascii="Times New Roman" w:hAnsi="Times New Roman"/>
                <w:sz w:val="24"/>
                <w:szCs w:val="24"/>
              </w:rPr>
              <w:t xml:space="preserve"> </w:t>
            </w:r>
            <w:r w:rsidRPr="004058DB">
              <w:rPr>
                <w:rFonts w:ascii="Times New Roman" w:hAnsi="Times New Roman"/>
                <w:sz w:val="24"/>
                <w:szCs w:val="24"/>
                <w:lang w:val="ru-RU"/>
              </w:rPr>
              <w:t>необходимостта от нови.</w:t>
            </w:r>
          </w:p>
          <w:p w14:paraId="4C72A972" w14:textId="77777777" w:rsidR="00682C5E" w:rsidRPr="008F47B0" w:rsidRDefault="00682C5E" w:rsidP="00682C5E">
            <w:pPr>
              <w:tabs>
                <w:tab w:val="left" w:pos="177"/>
                <w:tab w:val="left" w:pos="248"/>
              </w:tabs>
              <w:spacing w:after="0" w:line="276" w:lineRule="auto"/>
              <w:jc w:val="both"/>
              <w:rPr>
                <w:rFonts w:ascii="Times New Roman" w:hAnsi="Times New Roman"/>
                <w:sz w:val="24"/>
                <w:szCs w:val="24"/>
                <w:lang w:val="en-US"/>
              </w:rPr>
            </w:pPr>
            <w:r w:rsidRPr="008F47B0">
              <w:rPr>
                <w:rFonts w:ascii="Times New Roman" w:hAnsi="Times New Roman"/>
                <w:sz w:val="24"/>
                <w:szCs w:val="24"/>
                <w:lang w:val="en-US"/>
              </w:rPr>
              <w:t>Няма да бъдат финансирани работни</w:t>
            </w:r>
            <w:r w:rsidR="009704A3" w:rsidRPr="008F47B0">
              <w:rPr>
                <w:rFonts w:ascii="Times New Roman" w:hAnsi="Times New Roman"/>
                <w:sz w:val="24"/>
                <w:szCs w:val="24"/>
                <w:lang w:val="en-US"/>
              </w:rPr>
              <w:t xml:space="preserve"> облекла, съгласно Наредбата за</w:t>
            </w:r>
            <w:r w:rsidR="009704A3" w:rsidRPr="00DA668B">
              <w:rPr>
                <w:rFonts w:ascii="Times New Roman" w:hAnsi="Times New Roman"/>
                <w:sz w:val="24"/>
                <w:szCs w:val="24"/>
              </w:rPr>
              <w:t xml:space="preserve"> </w:t>
            </w:r>
            <w:r w:rsidRPr="008F47B0">
              <w:rPr>
                <w:rFonts w:ascii="Times New Roman" w:hAnsi="Times New Roman"/>
                <w:sz w:val="24"/>
                <w:szCs w:val="24"/>
                <w:lang w:val="en-US"/>
              </w:rPr>
              <w:t>безплатно работно и униформено облекло, приета с ПМС № 10 от</w:t>
            </w:r>
            <w:r w:rsidR="009704A3" w:rsidRPr="00DA668B">
              <w:rPr>
                <w:rFonts w:ascii="Times New Roman" w:hAnsi="Times New Roman"/>
                <w:sz w:val="24"/>
                <w:szCs w:val="24"/>
              </w:rPr>
              <w:t xml:space="preserve"> </w:t>
            </w:r>
            <w:r w:rsidRPr="008F47B0">
              <w:rPr>
                <w:rFonts w:ascii="Times New Roman" w:hAnsi="Times New Roman"/>
                <w:sz w:val="24"/>
                <w:szCs w:val="24"/>
                <w:lang w:val="en-US"/>
              </w:rPr>
              <w:t>20.01.2011 г., обн. ДВ. Бр. 9 от 28 януари 2011 г.</w:t>
            </w:r>
            <w:r w:rsidRPr="008F47B0">
              <w:rPr>
                <w:rFonts w:ascii="Times New Roman" w:hAnsi="Times New Roman"/>
                <w:sz w:val="24"/>
                <w:szCs w:val="24"/>
                <w:lang w:val="en-US"/>
              </w:rPr>
              <w:cr/>
            </w:r>
          </w:p>
          <w:p w14:paraId="65DB5E11" w14:textId="60E71BDC" w:rsidR="004F0192" w:rsidRPr="004058DB" w:rsidRDefault="00925FBB" w:rsidP="00E24B60">
            <w:pPr>
              <w:tabs>
                <w:tab w:val="left" w:pos="177"/>
                <w:tab w:val="left" w:pos="248"/>
              </w:tabs>
              <w:spacing w:after="0" w:line="276" w:lineRule="auto"/>
              <w:jc w:val="both"/>
              <w:rPr>
                <w:rFonts w:ascii="Times New Roman" w:hAnsi="Times New Roman"/>
                <w:b/>
                <w:sz w:val="24"/>
                <w:szCs w:val="24"/>
              </w:rPr>
            </w:pPr>
            <w:r w:rsidRPr="004058DB">
              <w:rPr>
                <w:rFonts w:ascii="Times New Roman" w:hAnsi="Times New Roman"/>
                <w:b/>
                <w:sz w:val="24"/>
                <w:szCs w:val="24"/>
              </w:rPr>
              <w:t>3</w:t>
            </w:r>
            <w:r w:rsidR="00E24B60" w:rsidRPr="004058DB">
              <w:rPr>
                <w:rFonts w:ascii="Times New Roman" w:hAnsi="Times New Roman"/>
                <w:b/>
                <w:sz w:val="24"/>
                <w:szCs w:val="24"/>
              </w:rPr>
              <w:t>.3.</w:t>
            </w:r>
            <w:r w:rsidR="003B12FC">
              <w:rPr>
                <w:rFonts w:ascii="Times New Roman" w:hAnsi="Times New Roman"/>
                <w:b/>
                <w:sz w:val="24"/>
                <w:szCs w:val="24"/>
              </w:rPr>
              <w:t xml:space="preserve"> </w:t>
            </w:r>
            <w:r w:rsidR="004F0192" w:rsidRPr="004058DB">
              <w:rPr>
                <w:rFonts w:ascii="Times New Roman" w:hAnsi="Times New Roman"/>
                <w:b/>
                <w:sz w:val="24"/>
                <w:szCs w:val="24"/>
              </w:rPr>
              <w:t>Придобиване на стандарти за безопасни условия на труд;</w:t>
            </w:r>
          </w:p>
          <w:p w14:paraId="2BB4A258" w14:textId="77777777" w:rsidR="00E24B60" w:rsidRPr="0063757D" w:rsidRDefault="00E24B60" w:rsidP="00E24B60">
            <w:pPr>
              <w:tabs>
                <w:tab w:val="left" w:pos="177"/>
                <w:tab w:val="left" w:pos="248"/>
              </w:tabs>
              <w:spacing w:after="0" w:line="276" w:lineRule="auto"/>
              <w:jc w:val="both"/>
              <w:rPr>
                <w:rFonts w:ascii="Times New Roman" w:hAnsi="Times New Roman"/>
                <w:b/>
                <w:sz w:val="24"/>
                <w:szCs w:val="24"/>
              </w:rPr>
            </w:pPr>
            <w:r w:rsidRPr="0063757D">
              <w:rPr>
                <w:rFonts w:ascii="Times New Roman" w:hAnsi="Times New Roman"/>
                <w:b/>
                <w:sz w:val="24"/>
                <w:szCs w:val="24"/>
              </w:rPr>
              <w:t>Важно!</w:t>
            </w:r>
          </w:p>
          <w:p w14:paraId="4BC4E096" w14:textId="0475C3F8" w:rsidR="007A799F" w:rsidRDefault="00E24B60" w:rsidP="002771F3">
            <w:pPr>
              <w:tabs>
                <w:tab w:val="left" w:pos="177"/>
                <w:tab w:val="left" w:pos="248"/>
              </w:tabs>
              <w:spacing w:after="0" w:line="276" w:lineRule="auto"/>
              <w:jc w:val="both"/>
              <w:rPr>
                <w:rFonts w:ascii="Times New Roman" w:hAnsi="Times New Roman"/>
                <w:b/>
                <w:color w:val="FF0000"/>
                <w:sz w:val="24"/>
                <w:szCs w:val="24"/>
              </w:rPr>
            </w:pPr>
            <w:r w:rsidRPr="0063757D">
              <w:rPr>
                <w:rFonts w:ascii="Times New Roman" w:hAnsi="Times New Roman"/>
                <w:b/>
                <w:sz w:val="24"/>
                <w:szCs w:val="24"/>
              </w:rPr>
              <w:t xml:space="preserve">Допустими кандидати по тази дейност са организации с КОД по КИД 2008, съгласно Приложение към Заповед </w:t>
            </w:r>
            <w:r w:rsidR="00FA4BEE" w:rsidRPr="006B6F53">
              <w:rPr>
                <w:rFonts w:ascii="Times New Roman" w:hAnsi="Times New Roman"/>
                <w:sz w:val="24"/>
                <w:szCs w:val="24"/>
              </w:rPr>
              <w:t>№ РД-01-</w:t>
            </w:r>
            <w:r w:rsidR="008B0AA0" w:rsidRPr="006B6F53">
              <w:rPr>
                <w:rFonts w:ascii="Times New Roman" w:hAnsi="Times New Roman"/>
                <w:sz w:val="24"/>
                <w:szCs w:val="24"/>
              </w:rPr>
              <w:t>672</w:t>
            </w:r>
            <w:r w:rsidR="00FA4BEE" w:rsidRPr="006B6F53">
              <w:rPr>
                <w:rFonts w:ascii="Times New Roman" w:hAnsi="Times New Roman"/>
                <w:sz w:val="24"/>
                <w:szCs w:val="24"/>
              </w:rPr>
              <w:t xml:space="preserve"> от </w:t>
            </w:r>
            <w:r w:rsidR="008B0AA0" w:rsidRPr="006B6F53">
              <w:rPr>
                <w:rFonts w:ascii="Times New Roman" w:hAnsi="Times New Roman"/>
                <w:sz w:val="24"/>
                <w:szCs w:val="24"/>
              </w:rPr>
              <w:t>22</w:t>
            </w:r>
            <w:r w:rsidR="00FA4BEE" w:rsidRPr="006B6F53">
              <w:rPr>
                <w:rFonts w:ascii="Times New Roman" w:hAnsi="Times New Roman"/>
                <w:sz w:val="24"/>
                <w:szCs w:val="24"/>
              </w:rPr>
              <w:t>.1</w:t>
            </w:r>
            <w:r w:rsidR="008B0AA0" w:rsidRPr="006B6F53">
              <w:rPr>
                <w:rFonts w:ascii="Times New Roman" w:hAnsi="Times New Roman"/>
                <w:sz w:val="24"/>
                <w:szCs w:val="24"/>
              </w:rPr>
              <w:t>0</w:t>
            </w:r>
            <w:r w:rsidR="00FA4BEE" w:rsidRPr="006B6F53">
              <w:rPr>
                <w:rFonts w:ascii="Times New Roman" w:hAnsi="Times New Roman"/>
                <w:sz w:val="24"/>
                <w:szCs w:val="24"/>
              </w:rPr>
              <w:t>.201</w:t>
            </w:r>
            <w:r w:rsidR="008B0AA0" w:rsidRPr="006B6F53">
              <w:rPr>
                <w:rFonts w:ascii="Times New Roman" w:hAnsi="Times New Roman"/>
                <w:sz w:val="24"/>
                <w:szCs w:val="24"/>
              </w:rPr>
              <w:t>9</w:t>
            </w:r>
            <w:r w:rsidR="00FA4BEE">
              <w:rPr>
                <w:rFonts w:ascii="Times New Roman" w:hAnsi="Times New Roman"/>
                <w:b/>
                <w:sz w:val="24"/>
                <w:szCs w:val="24"/>
              </w:rPr>
              <w:t xml:space="preserve"> </w:t>
            </w:r>
            <w:r w:rsidRPr="0063757D">
              <w:rPr>
                <w:rFonts w:ascii="Times New Roman" w:hAnsi="Times New Roman"/>
                <w:b/>
                <w:sz w:val="24"/>
                <w:szCs w:val="24"/>
              </w:rPr>
              <w:t>г. на Министъра на труда и социалната политика /Приложение за информация към Условията за кандидатстване</w:t>
            </w:r>
            <w:r w:rsidR="008B0AA0">
              <w:rPr>
                <w:rFonts w:ascii="Times New Roman" w:hAnsi="Times New Roman"/>
                <w:b/>
                <w:sz w:val="24"/>
                <w:szCs w:val="24"/>
              </w:rPr>
              <w:t>/</w:t>
            </w:r>
            <w:r w:rsidRPr="0063757D">
              <w:rPr>
                <w:rFonts w:ascii="Times New Roman" w:hAnsi="Times New Roman"/>
                <w:b/>
                <w:sz w:val="24"/>
                <w:szCs w:val="24"/>
              </w:rPr>
              <w:t xml:space="preserve">, които са с коефициент на трудов травматизъм по икономическа дейност, равен или по висок от средния за страната. </w:t>
            </w:r>
            <w:r w:rsidR="00C939E9" w:rsidRPr="004058DB">
              <w:rPr>
                <w:rFonts w:ascii="Times New Roman" w:hAnsi="Times New Roman"/>
                <w:b/>
                <w:color w:val="FF0000"/>
                <w:sz w:val="24"/>
                <w:szCs w:val="24"/>
              </w:rPr>
              <w:t>Разходите по дейност „Придобиване на стандарти за безопасни усл</w:t>
            </w:r>
            <w:r w:rsidR="002E61E1">
              <w:rPr>
                <w:rFonts w:ascii="Times New Roman" w:hAnsi="Times New Roman"/>
                <w:b/>
                <w:color w:val="FF0000"/>
                <w:sz w:val="24"/>
                <w:szCs w:val="24"/>
              </w:rPr>
              <w:t>о</w:t>
            </w:r>
            <w:r w:rsidR="00C939E9" w:rsidRPr="004058DB">
              <w:rPr>
                <w:rFonts w:ascii="Times New Roman" w:hAnsi="Times New Roman"/>
                <w:b/>
                <w:color w:val="FF0000"/>
                <w:sz w:val="24"/>
                <w:szCs w:val="24"/>
              </w:rPr>
              <w:t>в</w:t>
            </w:r>
            <w:r w:rsidR="002E61E1">
              <w:rPr>
                <w:rFonts w:ascii="Times New Roman" w:hAnsi="Times New Roman"/>
                <w:b/>
                <w:color w:val="FF0000"/>
                <w:sz w:val="24"/>
                <w:szCs w:val="24"/>
              </w:rPr>
              <w:t>и</w:t>
            </w:r>
            <w:r w:rsidR="00C939E9" w:rsidRPr="004058DB">
              <w:rPr>
                <w:rFonts w:ascii="Times New Roman" w:hAnsi="Times New Roman"/>
                <w:b/>
                <w:color w:val="FF0000"/>
                <w:sz w:val="24"/>
                <w:szCs w:val="24"/>
              </w:rPr>
              <w:t>я на труд“ е допустимо да бъдат до 10 % от общата стойност на проекта.</w:t>
            </w:r>
            <w:r w:rsidR="003F2FD2">
              <w:rPr>
                <w:rFonts w:ascii="Times New Roman" w:hAnsi="Times New Roman"/>
                <w:b/>
                <w:color w:val="FF0000"/>
                <w:sz w:val="24"/>
                <w:szCs w:val="24"/>
              </w:rPr>
              <w:t xml:space="preserve"> </w:t>
            </w:r>
          </w:p>
          <w:p w14:paraId="5AE8B36E" w14:textId="77777777" w:rsidR="003E0095" w:rsidRPr="0063757D" w:rsidRDefault="003E0095" w:rsidP="002771F3">
            <w:pPr>
              <w:tabs>
                <w:tab w:val="left" w:pos="177"/>
                <w:tab w:val="left" w:pos="248"/>
              </w:tabs>
              <w:spacing w:after="0" w:line="276" w:lineRule="auto"/>
              <w:jc w:val="both"/>
              <w:rPr>
                <w:rFonts w:ascii="Times New Roman" w:hAnsi="Times New Roman"/>
                <w:sz w:val="24"/>
                <w:szCs w:val="24"/>
              </w:rPr>
            </w:pPr>
            <w:r w:rsidRPr="0063757D">
              <w:rPr>
                <w:rFonts w:ascii="Times New Roman" w:hAnsi="Times New Roman"/>
                <w:sz w:val="24"/>
                <w:szCs w:val="24"/>
              </w:rPr>
              <w:t>За целите на настоящата процедура за предоставяне на безвъзмездна финансова</w:t>
            </w:r>
            <w:r w:rsidR="003F2FD2">
              <w:rPr>
                <w:rFonts w:ascii="Times New Roman" w:hAnsi="Times New Roman"/>
                <w:sz w:val="24"/>
                <w:szCs w:val="24"/>
              </w:rPr>
              <w:t xml:space="preserve"> </w:t>
            </w:r>
            <w:r w:rsidRPr="0063757D">
              <w:rPr>
                <w:rFonts w:ascii="Times New Roman" w:hAnsi="Times New Roman"/>
                <w:sz w:val="24"/>
                <w:szCs w:val="24"/>
              </w:rPr>
              <w:t>помощ, е допустим за внедряване и сертифициране следният стандарт за здраве и</w:t>
            </w:r>
            <w:r w:rsidR="003F2FD2">
              <w:rPr>
                <w:rFonts w:ascii="Times New Roman" w:hAnsi="Times New Roman"/>
                <w:sz w:val="24"/>
                <w:szCs w:val="24"/>
              </w:rPr>
              <w:t xml:space="preserve"> </w:t>
            </w:r>
            <w:r w:rsidRPr="0063757D">
              <w:rPr>
                <w:rFonts w:ascii="Times New Roman" w:hAnsi="Times New Roman"/>
                <w:sz w:val="24"/>
                <w:szCs w:val="24"/>
              </w:rPr>
              <w:t xml:space="preserve">безопасност при </w:t>
            </w:r>
            <w:r w:rsidRPr="0063757D">
              <w:rPr>
                <w:rFonts w:ascii="Times New Roman" w:hAnsi="Times New Roman"/>
                <w:sz w:val="24"/>
                <w:szCs w:val="24"/>
              </w:rPr>
              <w:lastRenderedPageBreak/>
              <w:t>работа:</w:t>
            </w:r>
          </w:p>
          <w:p w14:paraId="2C38741B" w14:textId="77777777" w:rsidR="007A799F" w:rsidRPr="00CE0058" w:rsidRDefault="007A799F" w:rsidP="007A799F">
            <w:pPr>
              <w:tabs>
                <w:tab w:val="left" w:pos="177"/>
                <w:tab w:val="left" w:pos="248"/>
              </w:tabs>
              <w:spacing w:line="276" w:lineRule="auto"/>
              <w:jc w:val="both"/>
              <w:rPr>
                <w:rFonts w:ascii="Times New Roman" w:hAnsi="Times New Roman"/>
                <w:sz w:val="24"/>
                <w:szCs w:val="24"/>
              </w:rPr>
            </w:pPr>
            <w:r w:rsidRPr="00CE0058">
              <w:rPr>
                <w:rFonts w:ascii="Times New Roman" w:hAnsi="Times New Roman"/>
                <w:sz w:val="24"/>
                <w:szCs w:val="24"/>
              </w:rPr>
              <w:t>ISO 45001:2018</w:t>
            </w:r>
            <w:r w:rsidRPr="00CE0058" w:rsidDel="004C3255">
              <w:rPr>
                <w:rFonts w:ascii="Times New Roman" w:hAnsi="Times New Roman"/>
                <w:sz w:val="24"/>
                <w:szCs w:val="24"/>
              </w:rPr>
              <w:t xml:space="preserve"> </w:t>
            </w:r>
            <w:r w:rsidRPr="00CE0058">
              <w:rPr>
                <w:rFonts w:ascii="Times New Roman" w:hAnsi="Times New Roman"/>
                <w:sz w:val="24"/>
                <w:szCs w:val="24"/>
                <w:vertAlign w:val="superscript"/>
              </w:rPr>
              <w:footnoteReference w:id="7"/>
            </w:r>
            <w:r w:rsidRPr="00CE0058">
              <w:rPr>
                <w:rFonts w:ascii="Times New Roman" w:hAnsi="Times New Roman"/>
                <w:sz w:val="24"/>
                <w:szCs w:val="24"/>
              </w:rPr>
              <w:t>(Occupational health and safety management systems)</w:t>
            </w:r>
            <w:r w:rsidRPr="00CE0058" w:rsidDel="004C3255">
              <w:rPr>
                <w:rFonts w:ascii="Times New Roman" w:hAnsi="Times New Roman"/>
                <w:sz w:val="24"/>
                <w:szCs w:val="24"/>
              </w:rPr>
              <w:t xml:space="preserve"> </w:t>
            </w:r>
            <w:r w:rsidRPr="00CE0058">
              <w:rPr>
                <w:rFonts w:ascii="Times New Roman" w:hAnsi="Times New Roman"/>
                <w:sz w:val="24"/>
                <w:szCs w:val="24"/>
              </w:rPr>
              <w:t xml:space="preserve">– Система за управление на здравето и безопасността при работа. ISO 45001:2018 е стандарт за система за управление на здравето и безопасността при работа, разработен да даде възможност на организациите да контролират и подобряват безопасните и здравословни условия на труд. Правните и регулаторните изисквания и непрекъснатото подобрение са два важни аспекта на ISO 45001:2018. Елементите на ISO 45001:2018 включват политика и ангажираност; идентификация на опасностите, оценка и контрол на риска, оценка на съответствието; законови изисквания; цели и програми, организация и персонал, обучение, комуникация и консултации; документи и записи; оперативен контрол, готовност за извънредни ситуации, наблюдение и измерване, разследване на инциденти и злополуки; коригиращи и превантивни действия, одит и преглед от ръководството. </w:t>
            </w:r>
            <w:r w:rsidRPr="00CE0058">
              <w:rPr>
                <w:rFonts w:ascii="Times New Roman" w:hAnsi="Times New Roman"/>
                <w:sz w:val="24"/>
                <w:szCs w:val="24"/>
                <w:u w:val="single"/>
              </w:rPr>
              <w:t>Тази под дейност включва както подготовка за внедряване на стандарта, така и сертификацията му от независим изпълнител.</w:t>
            </w:r>
            <w:r w:rsidRPr="00CE0058">
              <w:rPr>
                <w:rFonts w:ascii="Times New Roman" w:hAnsi="Times New Roman"/>
                <w:sz w:val="24"/>
                <w:szCs w:val="24"/>
              </w:rPr>
              <w:t xml:space="preserve"> </w:t>
            </w:r>
          </w:p>
          <w:p w14:paraId="601666D3" w14:textId="77777777" w:rsidR="005825C6" w:rsidRDefault="005825C6" w:rsidP="00E24B60">
            <w:pPr>
              <w:tabs>
                <w:tab w:val="left" w:pos="177"/>
                <w:tab w:val="left" w:pos="248"/>
              </w:tabs>
              <w:spacing w:after="0" w:line="276" w:lineRule="auto"/>
              <w:jc w:val="both"/>
              <w:rPr>
                <w:rFonts w:ascii="Times New Roman" w:hAnsi="Times New Roman"/>
                <w:b/>
                <w:sz w:val="24"/>
                <w:szCs w:val="24"/>
              </w:rPr>
            </w:pPr>
          </w:p>
          <w:p w14:paraId="5673A2AA" w14:textId="040729B5" w:rsidR="004F0192" w:rsidRPr="00390DF0" w:rsidRDefault="00301AD3" w:rsidP="00390DF0">
            <w:pPr>
              <w:pStyle w:val="ListParagraph"/>
              <w:numPr>
                <w:ilvl w:val="1"/>
                <w:numId w:val="46"/>
              </w:numPr>
              <w:tabs>
                <w:tab w:val="left" w:pos="177"/>
                <w:tab w:val="left" w:pos="248"/>
              </w:tabs>
              <w:spacing w:after="0" w:line="276" w:lineRule="auto"/>
              <w:jc w:val="both"/>
              <w:rPr>
                <w:rFonts w:ascii="Times New Roman" w:hAnsi="Times New Roman"/>
                <w:b/>
                <w:sz w:val="24"/>
                <w:szCs w:val="24"/>
              </w:rPr>
            </w:pPr>
            <w:r>
              <w:rPr>
                <w:rFonts w:ascii="Times New Roman" w:hAnsi="Times New Roman"/>
                <w:b/>
                <w:sz w:val="24"/>
                <w:szCs w:val="24"/>
              </w:rPr>
              <w:t xml:space="preserve"> </w:t>
            </w:r>
            <w:r w:rsidR="004F0192" w:rsidRPr="00390DF0">
              <w:rPr>
                <w:rFonts w:ascii="Times New Roman" w:hAnsi="Times New Roman"/>
                <w:b/>
                <w:sz w:val="24"/>
                <w:szCs w:val="24"/>
              </w:rPr>
              <w:t>Обучение на работниците и служители относно специфичните рискове за здравето, свързани с конкретното работно място и методите и средствата за тяхното ограничаване и предотвратяване</w:t>
            </w:r>
            <w:r w:rsidR="00634545" w:rsidRPr="00390DF0">
              <w:rPr>
                <w:rFonts w:ascii="Times New Roman" w:hAnsi="Times New Roman"/>
                <w:b/>
                <w:sz w:val="24"/>
                <w:szCs w:val="24"/>
              </w:rPr>
              <w:t>.</w:t>
            </w:r>
          </w:p>
          <w:tbl>
            <w:tblPr>
              <w:tblW w:w="0" w:type="auto"/>
              <w:tblBorders>
                <w:top w:val="nil"/>
                <w:left w:val="nil"/>
                <w:bottom w:val="nil"/>
                <w:right w:val="nil"/>
              </w:tblBorders>
              <w:tblLook w:val="0000" w:firstRow="0" w:lastRow="0" w:firstColumn="0" w:lastColumn="0" w:noHBand="0" w:noVBand="0"/>
            </w:tblPr>
            <w:tblGrid>
              <w:gridCol w:w="9280"/>
            </w:tblGrid>
            <w:tr w:rsidR="00634545" w:rsidRPr="0001016E" w14:paraId="7AEA4479" w14:textId="77777777">
              <w:trPr>
                <w:trHeight w:val="1825"/>
              </w:trPr>
              <w:tc>
                <w:tcPr>
                  <w:tcW w:w="0" w:type="auto"/>
                </w:tcPr>
                <w:p w14:paraId="2D3430D2" w14:textId="77777777" w:rsidR="00634545" w:rsidRPr="0001016E" w:rsidRDefault="00634545" w:rsidP="009479BB">
                  <w:pPr>
                    <w:autoSpaceDE w:val="0"/>
                    <w:autoSpaceDN w:val="0"/>
                    <w:adjustRightInd w:val="0"/>
                    <w:spacing w:after="0" w:line="240" w:lineRule="auto"/>
                    <w:jc w:val="both"/>
                    <w:rPr>
                      <w:rFonts w:ascii="Times New Roman" w:hAnsi="Times New Roman"/>
                      <w:sz w:val="24"/>
                      <w:szCs w:val="24"/>
                      <w:lang w:eastAsia="bg-BG"/>
                    </w:rPr>
                  </w:pPr>
                  <w:r w:rsidRPr="0001016E">
                    <w:rPr>
                      <w:rFonts w:ascii="Times New Roman" w:hAnsi="Times New Roman"/>
                      <w:sz w:val="24"/>
                      <w:szCs w:val="24"/>
                      <w:lang w:eastAsia="bg-BG"/>
                    </w:rPr>
                    <w:t xml:space="preserve">Обучение на работниците и служителите относно специфичните рискове за безопасността и здравето, свързани с индивидуалното работно място не следва да се припокрива със задължителния въвеждащ инструктаж за безопасност на труда, съгласно чл. 26 (2) 1 „а” и „б” от ЗЗБУТ. Това обучение може да бъде за поддържане и допълване на знанията на работещите по безопасност и здраве при работа на индивидуалното работно място. Обучението се провежда от длъжностни лица с подходящо образование по ред и при условия, определени от работодателя, като се отчитат характерът на изпълняваната работа, конкретните условия на работното място и съществуващият професионален риск. Обучението може да включва правила за безопасна работа за защита на работещите от опасности и рискове, в зависимост от спецификата на професията/извършваната дейност и на индивидуалното работно място: </w:t>
                  </w:r>
                </w:p>
                <w:p w14:paraId="4641B2B1" w14:textId="77777777" w:rsidR="00634545" w:rsidRPr="0001016E" w:rsidRDefault="00BD699C" w:rsidP="00CE0058">
                  <w:pPr>
                    <w:pStyle w:val="Default"/>
                    <w:jc w:val="both"/>
                    <w:rPr>
                      <w:b/>
                      <w:color w:val="auto"/>
                    </w:rPr>
                  </w:pPr>
                  <w:r w:rsidRPr="0001016E">
                    <w:rPr>
                      <w:b/>
                      <w:color w:val="auto"/>
                    </w:rPr>
                    <w:t>1.</w:t>
                  </w:r>
                  <w:r w:rsidR="009479BB">
                    <w:rPr>
                      <w:b/>
                      <w:color w:val="auto"/>
                    </w:rPr>
                    <w:t xml:space="preserve"> </w:t>
                  </w:r>
                  <w:r w:rsidR="00634545" w:rsidRPr="0001016E">
                    <w:rPr>
                      <w:b/>
                      <w:color w:val="auto"/>
                    </w:rPr>
                    <w:t xml:space="preserve">при работа с оборудване, машини, съоръжения и др.; </w:t>
                  </w:r>
                </w:p>
                <w:p w14:paraId="6171184D" w14:textId="77777777" w:rsidR="00634545" w:rsidRPr="0001016E" w:rsidRDefault="00BD699C" w:rsidP="00CE0058">
                  <w:pPr>
                    <w:pStyle w:val="Default"/>
                    <w:jc w:val="both"/>
                    <w:rPr>
                      <w:b/>
                      <w:color w:val="auto"/>
                    </w:rPr>
                  </w:pPr>
                  <w:r w:rsidRPr="0001016E">
                    <w:rPr>
                      <w:b/>
                      <w:color w:val="auto"/>
                    </w:rPr>
                    <w:t>2.</w:t>
                  </w:r>
                  <w:r w:rsidR="009479BB">
                    <w:rPr>
                      <w:b/>
                      <w:color w:val="auto"/>
                    </w:rPr>
                    <w:t xml:space="preserve"> </w:t>
                  </w:r>
                  <w:r w:rsidR="00634545" w:rsidRPr="0001016E">
                    <w:rPr>
                      <w:b/>
                      <w:color w:val="auto"/>
                    </w:rPr>
                    <w:t xml:space="preserve">по време на технологични процеси, повлияни от фактори на работната среда и трудовия процес; </w:t>
                  </w:r>
                </w:p>
                <w:p w14:paraId="4ABE204F" w14:textId="2AC5ED3D" w:rsidR="00BD699C" w:rsidRPr="0001016E" w:rsidRDefault="00BD699C" w:rsidP="00CE0058">
                  <w:pPr>
                    <w:pStyle w:val="Default"/>
                    <w:jc w:val="both"/>
                    <w:rPr>
                      <w:color w:val="auto"/>
                    </w:rPr>
                  </w:pPr>
                  <w:r w:rsidRPr="0001016E">
                    <w:rPr>
                      <w:b/>
                      <w:color w:val="auto"/>
                    </w:rPr>
                    <w:t>3.</w:t>
                  </w:r>
                  <w:r w:rsidR="009479BB">
                    <w:rPr>
                      <w:b/>
                      <w:color w:val="auto"/>
                    </w:rPr>
                    <w:t xml:space="preserve"> </w:t>
                  </w:r>
                  <w:r w:rsidR="00634545" w:rsidRPr="0001016E">
                    <w:rPr>
                      <w:b/>
                      <w:color w:val="auto"/>
                    </w:rPr>
                    <w:t>при използване на различни материали</w:t>
                  </w:r>
                  <w:r w:rsidR="009479BB">
                    <w:rPr>
                      <w:b/>
                      <w:color w:val="auto"/>
                    </w:rPr>
                    <w:t>;</w:t>
                  </w:r>
                </w:p>
              </w:tc>
            </w:tr>
          </w:tbl>
          <w:p w14:paraId="0851C4A1" w14:textId="77777777" w:rsidR="00634545" w:rsidRPr="00BD699C" w:rsidRDefault="00BD699C" w:rsidP="009479BB">
            <w:pPr>
              <w:pStyle w:val="Default"/>
              <w:jc w:val="both"/>
              <w:rPr>
                <w:b/>
              </w:rPr>
            </w:pPr>
            <w:r>
              <w:rPr>
                <w:b/>
              </w:rPr>
              <w:t xml:space="preserve">  </w:t>
            </w:r>
            <w:r w:rsidRPr="00BD699C">
              <w:rPr>
                <w:b/>
              </w:rPr>
              <w:t>4.</w:t>
            </w:r>
            <w:r w:rsidR="00634545" w:rsidRPr="00BD699C">
              <w:rPr>
                <w:b/>
              </w:rPr>
              <w:t xml:space="preserve"> при пътни маршрути и опасни зони (вкл. Шахти, асансьори и др.); </w:t>
            </w:r>
          </w:p>
          <w:p w14:paraId="43F112E7" w14:textId="77777777" w:rsidR="00634545" w:rsidRDefault="00BD699C" w:rsidP="009479BB">
            <w:pPr>
              <w:pStyle w:val="Default"/>
              <w:jc w:val="both"/>
            </w:pPr>
            <w:r>
              <w:rPr>
                <w:b/>
              </w:rPr>
              <w:t xml:space="preserve">  </w:t>
            </w:r>
            <w:r w:rsidRPr="00BD699C">
              <w:rPr>
                <w:b/>
              </w:rPr>
              <w:t>5.</w:t>
            </w:r>
            <w:r w:rsidR="00634545" w:rsidRPr="00BD699C">
              <w:rPr>
                <w:b/>
              </w:rPr>
              <w:t xml:space="preserve"> при използване на транспортни средства или при работа с тях</w:t>
            </w:r>
            <w:r w:rsidR="00634545" w:rsidRPr="00634545">
              <w:t xml:space="preserve">. </w:t>
            </w:r>
          </w:p>
          <w:p w14:paraId="126F0D86" w14:textId="77777777" w:rsidR="00EA020D" w:rsidRDefault="00EA020D" w:rsidP="006F7DD9">
            <w:pPr>
              <w:pStyle w:val="Default"/>
              <w:jc w:val="both"/>
            </w:pPr>
          </w:p>
          <w:p w14:paraId="49668CD8" w14:textId="77777777" w:rsidR="00EA020D" w:rsidRPr="0063757D" w:rsidRDefault="00EA020D" w:rsidP="0063757D">
            <w:pPr>
              <w:pStyle w:val="Default"/>
              <w:jc w:val="both"/>
            </w:pPr>
            <w:r>
              <w:t xml:space="preserve">Обучението на работниците и служители относно специфичните рискове за здравето, свързани с индивидуалното работно място и методите и средствата за тяхното ограничаване и предотвратяване, се провеждат на основата на действащите правила, норми и изисквания и утвърдените от работодателя правила и инструкции за безопасна </w:t>
            </w:r>
            <w:r>
              <w:lastRenderedPageBreak/>
              <w:t xml:space="preserve">работа. Тематиката и продължителността им се съобразяват с всички други изисквания, регламентирани в специфичните за дадена дейност или вид работа нормативни актове. </w:t>
            </w:r>
          </w:p>
          <w:p w14:paraId="7E361906" w14:textId="77777777" w:rsidR="00EA020D" w:rsidRPr="00E72858" w:rsidRDefault="00EA020D" w:rsidP="00DF343E">
            <w:pPr>
              <w:spacing w:line="276" w:lineRule="auto"/>
              <w:jc w:val="both"/>
              <w:rPr>
                <w:rFonts w:ascii="Times New Roman" w:hAnsi="Times New Roman"/>
                <w:b/>
                <w:color w:val="FF0000"/>
                <w:sz w:val="24"/>
                <w:szCs w:val="24"/>
              </w:rPr>
            </w:pPr>
          </w:p>
          <w:p w14:paraId="7C6B0438" w14:textId="77777777" w:rsidR="00FF3708" w:rsidRDefault="0001016E" w:rsidP="00DF343E">
            <w:pPr>
              <w:spacing w:line="276" w:lineRule="auto"/>
              <w:jc w:val="both"/>
              <w:rPr>
                <w:rFonts w:ascii="Times New Roman" w:hAnsi="Times New Roman"/>
                <w:b/>
                <w:sz w:val="24"/>
                <w:szCs w:val="24"/>
              </w:rPr>
            </w:pPr>
            <w:r>
              <w:rPr>
                <w:rFonts w:ascii="Times New Roman" w:hAnsi="Times New Roman"/>
                <w:b/>
                <w:sz w:val="24"/>
                <w:szCs w:val="24"/>
              </w:rPr>
              <w:t>4</w:t>
            </w:r>
            <w:r w:rsidR="00DF343E" w:rsidRPr="00FF3708">
              <w:rPr>
                <w:rFonts w:ascii="Times New Roman" w:hAnsi="Times New Roman"/>
                <w:b/>
                <w:sz w:val="24"/>
                <w:szCs w:val="24"/>
              </w:rPr>
              <w:t>.</w:t>
            </w:r>
            <w:r w:rsidR="00E24B60">
              <w:rPr>
                <w:rFonts w:ascii="Times New Roman" w:hAnsi="Times New Roman"/>
                <w:b/>
                <w:sz w:val="24"/>
                <w:szCs w:val="24"/>
              </w:rPr>
              <w:t xml:space="preserve"> </w:t>
            </w:r>
            <w:r w:rsidR="00DF343E" w:rsidRPr="00FF3708">
              <w:rPr>
                <w:rFonts w:ascii="Times New Roman" w:hAnsi="Times New Roman"/>
                <w:b/>
                <w:sz w:val="24"/>
                <w:szCs w:val="24"/>
              </w:rPr>
              <w:t>Осигуряване на социални придобивки за работещите, включително ремонт и оборудване на места за отдих, хранене и почивка в предприятията, спортни съоръжени</w:t>
            </w:r>
            <w:r w:rsidR="00FF3708" w:rsidRPr="00FF3708">
              <w:rPr>
                <w:rFonts w:ascii="Times New Roman" w:hAnsi="Times New Roman"/>
                <w:b/>
                <w:sz w:val="24"/>
                <w:szCs w:val="24"/>
              </w:rPr>
              <w:t>я и др.</w:t>
            </w:r>
          </w:p>
          <w:p w14:paraId="308DE117" w14:textId="21D7AAAC" w:rsidR="00F961B0" w:rsidRPr="00CE0058" w:rsidRDefault="00F961B0" w:rsidP="00DF343E">
            <w:pPr>
              <w:spacing w:line="276" w:lineRule="auto"/>
              <w:jc w:val="both"/>
              <w:rPr>
                <w:rFonts w:ascii="Times New Roman" w:hAnsi="Times New Roman"/>
                <w:b/>
                <w:sz w:val="24"/>
                <w:szCs w:val="24"/>
                <w:u w:val="single"/>
              </w:rPr>
            </w:pPr>
            <w:r w:rsidRPr="00CE0058">
              <w:rPr>
                <w:rFonts w:ascii="Times New Roman" w:hAnsi="Times New Roman"/>
                <w:b/>
                <w:sz w:val="24"/>
                <w:szCs w:val="24"/>
                <w:u w:val="single"/>
              </w:rPr>
              <w:t>Тази дейност не може да се изпълнява самостояте</w:t>
            </w:r>
            <w:r w:rsidR="009479BB">
              <w:rPr>
                <w:rFonts w:ascii="Times New Roman" w:hAnsi="Times New Roman"/>
                <w:b/>
                <w:sz w:val="24"/>
                <w:szCs w:val="24"/>
                <w:u w:val="single"/>
              </w:rPr>
              <w:t>л</w:t>
            </w:r>
            <w:r w:rsidRPr="00CE0058">
              <w:rPr>
                <w:rFonts w:ascii="Times New Roman" w:hAnsi="Times New Roman"/>
                <w:b/>
                <w:sz w:val="24"/>
                <w:szCs w:val="24"/>
                <w:u w:val="single"/>
              </w:rPr>
              <w:t>но. Проектите, които включват дейност 4 следва задължително да включват и някоя от по-горе изброените дейности.</w:t>
            </w:r>
          </w:p>
          <w:p w14:paraId="4E00F5DD" w14:textId="77777777" w:rsidR="007F3510" w:rsidRPr="007F3510" w:rsidRDefault="007F3510" w:rsidP="00DF343E">
            <w:pPr>
              <w:spacing w:line="276" w:lineRule="auto"/>
              <w:jc w:val="both"/>
              <w:rPr>
                <w:rFonts w:ascii="Times New Roman" w:hAnsi="Times New Roman"/>
                <w:sz w:val="24"/>
                <w:szCs w:val="24"/>
              </w:rPr>
            </w:pPr>
            <w:r w:rsidRPr="007F3510">
              <w:rPr>
                <w:rFonts w:ascii="Times New Roman" w:hAnsi="Times New Roman"/>
                <w:sz w:val="24"/>
                <w:szCs w:val="24"/>
              </w:rPr>
              <w:t xml:space="preserve">За осъществяване на дейността е допустимо да се закупи оборудване необходимо за обзавеждане на помещения за отдих, хранене и почивка в предприятията, спортни съоръжения и др., което следва да бъде обосновано във Формуляра за кандидатстване, в описанието на конкретната дейност. В случай че в проектното предложение е предвидено закупуване на оборудване, което не е обосновано, това е основание за неговото премахване от проектното предложение, както и съответните разходи от бюджета, в случай на одобрение на проектното предложение. За целите на настоящата процедура, по тази дейност е допустимо работодателят да осигури на работниците и служителите следните социални придобивки: </w:t>
            </w:r>
          </w:p>
          <w:p w14:paraId="0BC5F758" w14:textId="77777777" w:rsidR="007F3510" w:rsidRPr="007F3510" w:rsidRDefault="007F3510" w:rsidP="00DF343E">
            <w:pPr>
              <w:spacing w:line="276" w:lineRule="auto"/>
              <w:jc w:val="both"/>
              <w:rPr>
                <w:rFonts w:ascii="Times New Roman" w:hAnsi="Times New Roman"/>
                <w:sz w:val="24"/>
                <w:szCs w:val="24"/>
              </w:rPr>
            </w:pPr>
            <w:r w:rsidRPr="007F3510">
              <w:rPr>
                <w:rFonts w:ascii="Times New Roman" w:hAnsi="Times New Roman"/>
                <w:sz w:val="24"/>
                <w:szCs w:val="24"/>
              </w:rPr>
              <w:t xml:space="preserve">- Осигуряване на достъп за хора с увреждания; </w:t>
            </w:r>
          </w:p>
          <w:p w14:paraId="44AEA543" w14:textId="77777777" w:rsidR="00C3274D" w:rsidRDefault="007F3510" w:rsidP="00DF343E">
            <w:pPr>
              <w:spacing w:line="276" w:lineRule="auto"/>
              <w:jc w:val="both"/>
              <w:rPr>
                <w:rFonts w:ascii="Times New Roman" w:hAnsi="Times New Roman"/>
                <w:sz w:val="24"/>
                <w:szCs w:val="24"/>
              </w:rPr>
            </w:pPr>
            <w:r w:rsidRPr="007F3510">
              <w:rPr>
                <w:rFonts w:ascii="Times New Roman" w:hAnsi="Times New Roman"/>
                <w:sz w:val="24"/>
                <w:szCs w:val="24"/>
              </w:rPr>
              <w:t xml:space="preserve">- Помещения/места за хранене съобразно рационалните норми и специфичните условия на труд; </w:t>
            </w:r>
          </w:p>
          <w:p w14:paraId="7B06E150" w14:textId="77777777" w:rsidR="007F3510" w:rsidRPr="007F3510" w:rsidRDefault="007F3510" w:rsidP="00DF343E">
            <w:pPr>
              <w:spacing w:line="276" w:lineRule="auto"/>
              <w:jc w:val="both"/>
              <w:rPr>
                <w:rFonts w:ascii="Times New Roman" w:hAnsi="Times New Roman"/>
                <w:sz w:val="24"/>
                <w:szCs w:val="24"/>
              </w:rPr>
            </w:pPr>
            <w:r w:rsidRPr="007F3510">
              <w:rPr>
                <w:rFonts w:ascii="Times New Roman" w:hAnsi="Times New Roman"/>
                <w:sz w:val="24"/>
                <w:szCs w:val="24"/>
              </w:rPr>
              <w:t xml:space="preserve">- Помещения/места за краткотраен отдих, физическа култура и спорт. </w:t>
            </w:r>
          </w:p>
          <w:p w14:paraId="51FEC26E" w14:textId="77777777" w:rsidR="009479BB" w:rsidRDefault="009479BB" w:rsidP="00DF343E">
            <w:pPr>
              <w:spacing w:line="276" w:lineRule="auto"/>
              <w:jc w:val="both"/>
              <w:rPr>
                <w:rFonts w:ascii="Times New Roman" w:hAnsi="Times New Roman"/>
                <w:sz w:val="24"/>
                <w:szCs w:val="24"/>
              </w:rPr>
            </w:pPr>
            <w:r w:rsidRPr="009479BB">
              <w:rPr>
                <w:rFonts w:ascii="Times New Roman" w:hAnsi="Times New Roman"/>
                <w:sz w:val="24"/>
                <w:szCs w:val="24"/>
              </w:rPr>
              <w:t>Дейностите във връзка с горните социални придобивки могат да включват закупуване на оборудване и/или ремонтни дейности (текущ или основен ремонт), свързани с адаптиране на съответните помещения.</w:t>
            </w:r>
          </w:p>
          <w:p w14:paraId="3575E648" w14:textId="77777777" w:rsidR="007F3510" w:rsidRPr="0063757D" w:rsidRDefault="007F3510" w:rsidP="00DF343E">
            <w:pPr>
              <w:spacing w:line="276" w:lineRule="auto"/>
              <w:jc w:val="both"/>
              <w:rPr>
                <w:rFonts w:ascii="Times New Roman" w:hAnsi="Times New Roman"/>
                <w:sz w:val="24"/>
                <w:szCs w:val="24"/>
              </w:rPr>
            </w:pPr>
            <w:r w:rsidRPr="0063757D">
              <w:rPr>
                <w:rFonts w:ascii="Times New Roman" w:hAnsi="Times New Roman"/>
                <w:sz w:val="24"/>
                <w:szCs w:val="24"/>
              </w:rPr>
              <w:t>Избор</w:t>
            </w:r>
            <w:r w:rsidR="00813EAD">
              <w:rPr>
                <w:rFonts w:ascii="Times New Roman" w:hAnsi="Times New Roman"/>
                <w:sz w:val="24"/>
                <w:szCs w:val="24"/>
              </w:rPr>
              <w:t>ът</w:t>
            </w:r>
            <w:r w:rsidRPr="0063757D">
              <w:rPr>
                <w:rFonts w:ascii="Times New Roman" w:hAnsi="Times New Roman"/>
                <w:sz w:val="24"/>
                <w:szCs w:val="24"/>
              </w:rPr>
              <w:t xml:space="preserve"> на включените в проекта социални придобивки следва да е обоснован и направен в съответствие с нуждите на предприятието. В случай че за осъществяването на конкретната дейност, кандидатът е предвидил да извършва ремонтни дейности, свързани с адаптиране на помещения в места за отдих, хранене и почивка, спортни съоръжения и др., е необходимо кандидатът да разполага със собствено помещение или да има договор за наем за помещението, в което се предвижда да се извърши ремонт.  Аргументацията за ремонта се записва в описанието на конкретната дейност във Формуляра за кандидатстване и следва да съдържа: вид на ремонта, описание и размер на помещението и др. </w:t>
            </w:r>
            <w:r w:rsidRPr="00CE0058">
              <w:rPr>
                <w:rFonts w:ascii="Times New Roman" w:hAnsi="Times New Roman"/>
                <w:b/>
                <w:sz w:val="24"/>
                <w:szCs w:val="24"/>
              </w:rPr>
              <w:t>Липсата на обща аргументация за вида и необходимостта от ремонт е основание за неговото отстраняване от проектното предложение и заличаване на съответните разходи от бюджета, в случай на одобрение на проектното предложение.</w:t>
            </w:r>
            <w:r w:rsidRPr="0063757D">
              <w:rPr>
                <w:rFonts w:ascii="Times New Roman" w:hAnsi="Times New Roman"/>
                <w:sz w:val="24"/>
                <w:szCs w:val="24"/>
              </w:rPr>
              <w:t xml:space="preserve"> Обосноваността на допустимите за конкретната дейност разходи за ремонт ще се проследи на етап изпълнение. </w:t>
            </w:r>
          </w:p>
          <w:p w14:paraId="0710165A" w14:textId="7FA6C331" w:rsidR="007F3510" w:rsidRPr="0063757D" w:rsidRDefault="007F3510" w:rsidP="00DF343E">
            <w:pPr>
              <w:spacing w:line="276" w:lineRule="auto"/>
              <w:jc w:val="both"/>
              <w:rPr>
                <w:rFonts w:ascii="Times New Roman" w:hAnsi="Times New Roman"/>
                <w:b/>
                <w:sz w:val="24"/>
                <w:szCs w:val="24"/>
              </w:rPr>
            </w:pPr>
            <w:r w:rsidRPr="0063757D">
              <w:rPr>
                <w:rFonts w:ascii="Times New Roman" w:hAnsi="Times New Roman"/>
                <w:sz w:val="24"/>
                <w:szCs w:val="24"/>
              </w:rPr>
              <w:lastRenderedPageBreak/>
              <w:t>Кандидатът представя преди стартиране на ремонтните дейности копие от издадено и влязло в сила разрешение за строеж (заверено „вярно с оригинала”) или писмо от главния архитект на общината, че за обекта не се изисква разрешение за строеж (важи за обект, за който по ЗУТ не се изисква разрешение за строеж).</w:t>
            </w:r>
          </w:p>
          <w:p w14:paraId="0F362508" w14:textId="77777777" w:rsidR="004B57C8" w:rsidRDefault="004B57C8" w:rsidP="00DA668B">
            <w:pPr>
              <w:spacing w:line="276" w:lineRule="auto"/>
              <w:jc w:val="both"/>
              <w:rPr>
                <w:rFonts w:ascii="Times New Roman" w:eastAsia="Times New Roman" w:hAnsi="Times New Roman"/>
                <w:b/>
                <w:sz w:val="24"/>
                <w:szCs w:val="24"/>
                <w:lang w:eastAsia="bg-BG"/>
              </w:rPr>
            </w:pPr>
            <w:r w:rsidRPr="004B57C8">
              <w:rPr>
                <w:rFonts w:ascii="Times New Roman" w:eastAsia="Times New Roman" w:hAnsi="Times New Roman"/>
                <w:b/>
                <w:sz w:val="24"/>
                <w:szCs w:val="24"/>
                <w:lang w:eastAsia="bg-BG"/>
              </w:rPr>
              <w:t>Допустимите дейности трябва да са в съответствие с хоризонталните принципи по ОП</w:t>
            </w:r>
            <w:r w:rsidR="00813EAD">
              <w:rPr>
                <w:rFonts w:ascii="Times New Roman" w:eastAsia="Times New Roman" w:hAnsi="Times New Roman"/>
                <w:b/>
                <w:sz w:val="24"/>
                <w:szCs w:val="24"/>
                <w:lang w:eastAsia="bg-BG"/>
              </w:rPr>
              <w:t xml:space="preserve"> РЧР</w:t>
            </w:r>
            <w:r w:rsidRPr="004B57C8">
              <w:rPr>
                <w:rFonts w:ascii="Times New Roman" w:eastAsia="Times New Roman" w:hAnsi="Times New Roman"/>
                <w:b/>
                <w:sz w:val="24"/>
                <w:szCs w:val="24"/>
                <w:lang w:eastAsia="bg-BG"/>
              </w:rPr>
              <w:t xml:space="preserve"> и да не се допуска дублиране на финансиране на едни и същи дейности от различини източници.</w:t>
            </w:r>
          </w:p>
          <w:p w14:paraId="2B376F70" w14:textId="4B7E0A13" w:rsidR="00F961B0" w:rsidRPr="00DF343E" w:rsidRDefault="00F961B0" w:rsidP="009479BB">
            <w:pPr>
              <w:spacing w:line="276"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В случай, че кандидатът е изпълнявал проект </w:t>
            </w:r>
            <w:r w:rsidR="009479BB">
              <w:rPr>
                <w:rFonts w:ascii="Times New Roman" w:eastAsia="Times New Roman" w:hAnsi="Times New Roman"/>
                <w:b/>
                <w:sz w:val="24"/>
                <w:szCs w:val="24"/>
                <w:lang w:eastAsia="bg-BG"/>
              </w:rPr>
              <w:t>по процедура „</w:t>
            </w:r>
            <w:r>
              <w:rPr>
                <w:rFonts w:ascii="Times New Roman" w:eastAsia="Times New Roman" w:hAnsi="Times New Roman"/>
                <w:b/>
                <w:sz w:val="24"/>
                <w:szCs w:val="24"/>
                <w:lang w:eastAsia="bg-BG"/>
              </w:rPr>
              <w:t>Д</w:t>
            </w:r>
            <w:r w:rsidR="009479BB">
              <w:rPr>
                <w:rFonts w:ascii="Times New Roman" w:eastAsia="Times New Roman" w:hAnsi="Times New Roman"/>
                <w:b/>
                <w:sz w:val="24"/>
                <w:szCs w:val="24"/>
                <w:lang w:eastAsia="bg-BG"/>
              </w:rPr>
              <w:t>обри и безопасни условия на труд“</w:t>
            </w:r>
            <w:r>
              <w:rPr>
                <w:rFonts w:ascii="Times New Roman" w:eastAsia="Times New Roman" w:hAnsi="Times New Roman"/>
                <w:b/>
                <w:sz w:val="24"/>
                <w:szCs w:val="24"/>
                <w:lang w:eastAsia="bg-BG"/>
              </w:rPr>
              <w:t xml:space="preserve"> </w:t>
            </w:r>
            <w:r w:rsidR="009479BB">
              <w:rPr>
                <w:rFonts w:ascii="Times New Roman" w:eastAsia="Times New Roman" w:hAnsi="Times New Roman"/>
                <w:b/>
                <w:sz w:val="24"/>
                <w:szCs w:val="24"/>
                <w:lang w:eastAsia="bg-BG"/>
              </w:rPr>
              <w:t xml:space="preserve">на национално ниво </w:t>
            </w:r>
            <w:r>
              <w:rPr>
                <w:rFonts w:ascii="Times New Roman" w:eastAsia="Times New Roman" w:hAnsi="Times New Roman"/>
                <w:b/>
                <w:sz w:val="24"/>
                <w:szCs w:val="24"/>
                <w:lang w:eastAsia="bg-BG"/>
              </w:rPr>
              <w:t>по ОП РЧР той може да кандидатства за дейности от настоящата мярка</w:t>
            </w:r>
            <w:r w:rsidR="009479BB">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на МИГ-а</w:t>
            </w:r>
            <w:r w:rsidR="004C118B">
              <w:rPr>
                <w:rFonts w:ascii="Times New Roman" w:eastAsia="Times New Roman" w:hAnsi="Times New Roman"/>
                <w:b/>
                <w:sz w:val="24"/>
                <w:szCs w:val="24"/>
                <w:lang w:eastAsia="bg-BG"/>
              </w:rPr>
              <w:t>, които не са били включени в предходния му проект.</w:t>
            </w:r>
          </w:p>
        </w:tc>
      </w:tr>
    </w:tbl>
    <w:p w14:paraId="023449BA" w14:textId="77777777" w:rsidR="00326D21" w:rsidRPr="007713C1" w:rsidRDefault="00815963" w:rsidP="007570DC">
      <w:pPr>
        <w:pStyle w:val="Heading1"/>
      </w:pPr>
      <w:bookmarkStart w:id="29" w:name="_Toc445385591"/>
      <w:r w:rsidRPr="007713C1">
        <w:lastRenderedPageBreak/>
        <w:t>14. Категории ра</w:t>
      </w:r>
      <w:r w:rsidR="005B29DA" w:rsidRPr="007713C1">
        <w:t>зходи, допустими за финансиране</w:t>
      </w:r>
      <w:r w:rsidRPr="007713C1">
        <w:t>:</w:t>
      </w:r>
      <w:bookmarkEnd w:id="29"/>
    </w:p>
    <w:p w14:paraId="2AFD119B" w14:textId="77777777" w:rsidR="005B29DA" w:rsidRPr="007713C1" w:rsidRDefault="005B29DA" w:rsidP="007570DC">
      <w:pPr>
        <w:pStyle w:val="Heading2"/>
      </w:pPr>
      <w:bookmarkStart w:id="30" w:name="_Toc445385592"/>
      <w:r w:rsidRPr="007713C1">
        <w:t>14.1. Общи правила за допустимост на разходите:</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815963" w:rsidRPr="008F724D" w14:paraId="68877B77" w14:textId="77777777">
        <w:tc>
          <w:tcPr>
            <w:tcW w:w="9496" w:type="dxa"/>
          </w:tcPr>
          <w:p w14:paraId="49992128" w14:textId="3D5560A8" w:rsidR="005B29DA" w:rsidRPr="008F724D" w:rsidRDefault="005B29DA"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8F724D">
              <w:rPr>
                <w:rFonts w:ascii="Times New Roman" w:eastAsia="Times New Roman" w:hAnsi="Times New Roman"/>
                <w:sz w:val="24"/>
                <w:szCs w:val="24"/>
                <w:lang w:eastAsia="bg-BG"/>
              </w:rPr>
              <w:t xml:space="preserve">глава 5, раздел I от ЗУСЕСИФ и </w:t>
            </w:r>
            <w:r w:rsidRPr="008F724D">
              <w:rPr>
                <w:rFonts w:ascii="Times New Roman" w:eastAsia="Times New Roman" w:hAnsi="Times New Roman"/>
                <w:sz w:val="24"/>
                <w:szCs w:val="24"/>
                <w:lang w:eastAsia="bg-BG"/>
              </w:rPr>
              <w:t xml:space="preserve">ПМС № </w:t>
            </w:r>
            <w:r w:rsidR="00536436" w:rsidRPr="008F724D">
              <w:rPr>
                <w:rFonts w:ascii="Times New Roman" w:eastAsia="Times New Roman" w:hAnsi="Times New Roman"/>
                <w:sz w:val="24"/>
                <w:szCs w:val="24"/>
                <w:lang w:eastAsia="bg-BG"/>
              </w:rPr>
              <w:t>189/28.07.2016г.</w:t>
            </w:r>
            <w:r w:rsidRPr="008F724D">
              <w:rPr>
                <w:rFonts w:ascii="Times New Roman" w:eastAsia="Times New Roman" w:hAnsi="Times New Roman"/>
                <w:sz w:val="24"/>
                <w:szCs w:val="24"/>
                <w:lang w:eastAsia="bg-BG"/>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024AFB">
              <w:rPr>
                <w:rFonts w:ascii="Times New Roman" w:eastAsia="Times New Roman" w:hAnsi="Times New Roman"/>
                <w:sz w:val="24"/>
                <w:szCs w:val="24"/>
                <w:lang w:eastAsia="bg-BG"/>
              </w:rPr>
              <w:t>2018/1046</w:t>
            </w:r>
            <w:r w:rsidRPr="008F724D">
              <w:rPr>
                <w:rFonts w:ascii="Times New Roman" w:eastAsia="Times New Roman" w:hAnsi="Times New Roman"/>
                <w:sz w:val="24"/>
                <w:szCs w:val="24"/>
                <w:lang w:eastAsia="bg-BG"/>
              </w:rPr>
              <w:t xml:space="preserve"> и приложимото национално законодателство за финансовата рамка 2014 – 2020 г. </w:t>
            </w:r>
          </w:p>
          <w:p w14:paraId="1299CEB4" w14:textId="77777777" w:rsidR="00536436" w:rsidRPr="008F724D" w:rsidRDefault="00536436"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Съгласно чл. 57, ал. 1 от ЗУСЕСИФ,</w:t>
            </w:r>
            <w:r w:rsidRPr="008F724D">
              <w:rPr>
                <w:rFonts w:ascii="Times New Roman" w:eastAsia="Times New Roman" w:hAnsi="Times New Roman"/>
                <w:sz w:val="20"/>
                <w:szCs w:val="20"/>
                <w:lang w:eastAsia="bg-BG"/>
              </w:rPr>
              <w:t xml:space="preserve"> </w:t>
            </w:r>
            <w:r w:rsidRPr="008F724D">
              <w:rPr>
                <w:rFonts w:ascii="Times New Roman" w:eastAsia="Times New Roman" w:hAnsi="Times New Roman"/>
                <w:sz w:val="24"/>
                <w:szCs w:val="24"/>
                <w:lang w:eastAsia="bg-BG"/>
              </w:rPr>
              <w:t>за да бъдат допустими разходите трябва да отговарят едновременно на следните условия</w:t>
            </w:r>
          </w:p>
          <w:p w14:paraId="319B9AB2" w14:textId="77777777" w:rsidR="00536436" w:rsidRPr="008F724D" w:rsidRDefault="00536436" w:rsidP="008F724D">
            <w:pPr>
              <w:numPr>
                <w:ilvl w:val="0"/>
                <w:numId w:val="8"/>
              </w:numPr>
              <w:spacing w:after="120" w:line="240" w:lineRule="auto"/>
              <w:ind w:left="567" w:hanging="425"/>
              <w:jc w:val="both"/>
              <w:rPr>
                <w:rFonts w:ascii="Times New Roman" w:hAnsi="Times New Roman"/>
                <w:sz w:val="24"/>
                <w:szCs w:val="24"/>
                <w:lang w:eastAsia="bg-BG"/>
              </w:rPr>
            </w:pPr>
            <w:r w:rsidRPr="008F724D">
              <w:rPr>
                <w:rFonts w:ascii="Times New Roman" w:eastAsia="Times New Roman" w:hAnsi="Times New Roman"/>
                <w:sz w:val="24"/>
                <w:szCs w:val="24"/>
                <w:lang w:eastAsia="bg-BG"/>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398A6732" w14:textId="77777777" w:rsidR="00536436" w:rsidRPr="008F724D"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разходите попадат във включени в документите по чл. 26, ал. 1 от ЗУСЕСИФ и в одобрения проект категории разходи;</w:t>
            </w:r>
          </w:p>
          <w:p w14:paraId="0DA5BC6A" w14:textId="77777777" w:rsidR="00536436" w:rsidRPr="008F724D"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разходите са за реално доставени продукти, извършени услуги и строителни дейности</w:t>
            </w:r>
          </w:p>
          <w:p w14:paraId="2A39DA6B" w14:textId="77777777" w:rsidR="00536436" w:rsidRPr="008F724D" w:rsidRDefault="00536436" w:rsidP="008F724D">
            <w:pPr>
              <w:numPr>
                <w:ilvl w:val="0"/>
                <w:numId w:val="8"/>
              </w:numPr>
              <w:spacing w:after="120" w:line="240" w:lineRule="auto"/>
              <w:ind w:left="567" w:hanging="425"/>
              <w:jc w:val="both"/>
              <w:rPr>
                <w:rFonts w:ascii="Times New Roman" w:hAnsi="Times New Roman"/>
                <w:sz w:val="24"/>
                <w:szCs w:val="24"/>
                <w:lang w:eastAsia="bg-BG"/>
              </w:rPr>
            </w:pPr>
            <w:r w:rsidRPr="008F724D">
              <w:rPr>
                <w:rFonts w:ascii="Times New Roman" w:eastAsia="Times New Roman" w:hAnsi="Times New Roman"/>
                <w:sz w:val="24"/>
                <w:szCs w:val="24"/>
                <w:lang w:eastAsia="bg-BG"/>
              </w:rPr>
              <w:t>разходите са извършени законосъобразно съгласно приложимото право на Европейския съюз и българското законодателство;</w:t>
            </w:r>
          </w:p>
          <w:p w14:paraId="087CFF49" w14:textId="77777777" w:rsidR="00536436" w:rsidRPr="008F724D"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3E5A40C7" w14:textId="77777777" w:rsidR="00536436" w:rsidRPr="008F724D"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w:t>
            </w:r>
            <w:r w:rsidRPr="008F724D">
              <w:rPr>
                <w:rFonts w:ascii="Times New Roman" w:eastAsia="Times New Roman" w:hAnsi="Times New Roman"/>
                <w:sz w:val="24"/>
                <w:szCs w:val="24"/>
                <w:lang w:eastAsia="bg-BG"/>
              </w:rPr>
              <w:lastRenderedPageBreak/>
              <w:t>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2773E10B" w14:textId="77777777" w:rsidR="00536436" w:rsidRPr="009F7DDA"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9F7DDA">
              <w:rPr>
                <w:rFonts w:ascii="Times New Roman" w:eastAsia="Times New Roman" w:hAnsi="Times New Roman"/>
                <w:sz w:val="24"/>
                <w:szCs w:val="24"/>
                <w:lang w:eastAsia="bg-BG"/>
              </w:rPr>
              <w:t>разходите са съобразени с приложимите правила за предоставяне на държавни помощи</w:t>
            </w:r>
          </w:p>
          <w:p w14:paraId="238D392A" w14:textId="77777777" w:rsidR="009F7DDA" w:rsidRDefault="009F7DDA" w:rsidP="009F7DDA">
            <w:pPr>
              <w:pStyle w:val="ListParagraph"/>
              <w:numPr>
                <w:ilvl w:val="0"/>
                <w:numId w:val="8"/>
              </w:numPr>
              <w:spacing w:after="120" w:line="240" w:lineRule="auto"/>
              <w:ind w:left="567" w:hanging="425"/>
              <w:jc w:val="both"/>
              <w:rPr>
                <w:rFonts w:ascii="Times New Roman" w:hAnsi="Times New Roman"/>
                <w:sz w:val="24"/>
                <w:szCs w:val="24"/>
              </w:rPr>
            </w:pPr>
            <w:r w:rsidRPr="009F7DDA">
              <w:rPr>
                <w:rFonts w:ascii="Times New Roman" w:hAnsi="Times New Roman"/>
                <w:sz w:val="24"/>
                <w:szCs w:val="24"/>
              </w:rPr>
              <w:t>разходите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966/2012.</w:t>
            </w:r>
          </w:p>
          <w:p w14:paraId="7BD6D5BF" w14:textId="74897ADA" w:rsidR="009F7DDA" w:rsidRDefault="009F7DDA" w:rsidP="009F7DDA">
            <w:pPr>
              <w:pStyle w:val="ListParagraph"/>
              <w:numPr>
                <w:ilvl w:val="0"/>
                <w:numId w:val="8"/>
              </w:numPr>
              <w:spacing w:after="120" w:line="240" w:lineRule="auto"/>
              <w:jc w:val="both"/>
              <w:rPr>
                <w:rFonts w:ascii="Times New Roman" w:hAnsi="Times New Roman"/>
                <w:sz w:val="24"/>
                <w:szCs w:val="24"/>
              </w:rPr>
            </w:pPr>
            <w:r w:rsidRPr="009F7DDA">
              <w:rPr>
                <w:rFonts w:ascii="Times New Roman" w:hAnsi="Times New Roman"/>
                <w:sz w:val="24"/>
                <w:szCs w:val="24"/>
              </w:rPr>
              <w:t>при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p>
          <w:p w14:paraId="53AE8093" w14:textId="77777777" w:rsidR="00815963" w:rsidRPr="008F724D" w:rsidRDefault="00815963" w:rsidP="00390DF0">
            <w:pPr>
              <w:spacing w:after="120" w:line="240" w:lineRule="auto"/>
              <w:jc w:val="both"/>
              <w:rPr>
                <w:rFonts w:ascii="Times New Roman" w:eastAsia="Times New Roman" w:hAnsi="Times New Roman"/>
                <w:sz w:val="24"/>
                <w:szCs w:val="24"/>
                <w:lang w:eastAsia="bg-BG"/>
              </w:rPr>
            </w:pPr>
          </w:p>
        </w:tc>
      </w:tr>
    </w:tbl>
    <w:p w14:paraId="30986BEF" w14:textId="77777777" w:rsidR="00815963" w:rsidRPr="007713C1" w:rsidRDefault="00F74CEC" w:rsidP="007570DC">
      <w:pPr>
        <w:pStyle w:val="Heading2"/>
      </w:pPr>
      <w:bookmarkStart w:id="31" w:name="_Toc445385593"/>
      <w:r w:rsidRPr="007713C1">
        <w:lastRenderedPageBreak/>
        <w:t xml:space="preserve">14.2. </w:t>
      </w:r>
      <w:r w:rsidR="00341C34" w:rsidRPr="007713C1">
        <w:t>Указания за попълване на бюджетa:</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F74CEC" w:rsidRPr="00AE35FA" w14:paraId="38ABC283" w14:textId="77777777">
        <w:tc>
          <w:tcPr>
            <w:tcW w:w="9496" w:type="dxa"/>
          </w:tcPr>
          <w:p w14:paraId="62717249" w14:textId="77777777" w:rsidR="00F03411" w:rsidRPr="00CE0058" w:rsidRDefault="00F03411" w:rsidP="00F03411">
            <w:pPr>
              <w:spacing w:after="240"/>
              <w:jc w:val="both"/>
              <w:rPr>
                <w:rFonts w:ascii="Times New Roman" w:hAnsi="Times New Roman"/>
                <w:b/>
                <w:sz w:val="24"/>
                <w:szCs w:val="24"/>
              </w:rPr>
            </w:pPr>
            <w:r w:rsidRPr="00CE0058">
              <w:rPr>
                <w:rFonts w:ascii="Times New Roman" w:hAnsi="Times New Roman"/>
                <w:b/>
                <w:sz w:val="24"/>
                <w:szCs w:val="24"/>
              </w:rPr>
              <w:t>Бюджетът е част от Формуляра за кандидатстване в ИСУН2020 и включва - секция 5. Бюджет и секция 6. Финансова информация – източници на финансиране.</w:t>
            </w:r>
          </w:p>
          <w:p w14:paraId="353A38C8" w14:textId="77777777" w:rsidR="00F03411" w:rsidRPr="00AE35FA" w:rsidRDefault="00F03411" w:rsidP="00F03411">
            <w:pPr>
              <w:spacing w:after="240"/>
              <w:jc w:val="both"/>
              <w:rPr>
                <w:rFonts w:ascii="Times New Roman" w:hAnsi="Times New Roman"/>
                <w:sz w:val="24"/>
                <w:szCs w:val="24"/>
              </w:rPr>
            </w:pPr>
            <w:r w:rsidRPr="00CE0058">
              <w:rPr>
                <w:rFonts w:ascii="Times New Roman" w:hAnsi="Times New Roman"/>
                <w:b/>
                <w:sz w:val="24"/>
                <w:szCs w:val="24"/>
              </w:rPr>
              <w:t>Бюджетът (секция 5 от Формуляра)</w:t>
            </w:r>
            <w:r w:rsidRPr="00AE35FA">
              <w:rPr>
                <w:rFonts w:ascii="Times New Roman" w:hAnsi="Times New Roman"/>
                <w:sz w:val="24"/>
                <w:szCs w:val="24"/>
              </w:rPr>
              <w:t xml:space="preserve"> следва да покрива всички допустими разходи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15A11777" w14:textId="77777777" w:rsidR="00F03411" w:rsidRPr="00AE35FA" w:rsidRDefault="00F03411" w:rsidP="00F03411">
            <w:pPr>
              <w:spacing w:after="240"/>
              <w:jc w:val="both"/>
              <w:rPr>
                <w:rFonts w:ascii="Times New Roman" w:hAnsi="Times New Roman"/>
                <w:sz w:val="24"/>
                <w:szCs w:val="24"/>
              </w:rPr>
            </w:pPr>
            <w:r w:rsidRPr="00AE35FA">
              <w:rPr>
                <w:rFonts w:ascii="Times New Roman" w:hAnsi="Times New Roman"/>
                <w:sz w:val="24"/>
                <w:szCs w:val="24"/>
              </w:rPr>
              <w:t xml:space="preserve">Бюджетът се представя в лева. Стойностите се закръгляват до втория знак след десетичната запетая. </w:t>
            </w:r>
          </w:p>
          <w:p w14:paraId="600DFCA8"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Във Формуляра за кандидатстване, секция 7 „План за изпълнение/Дейности по проекта“,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 </w:t>
            </w:r>
          </w:p>
          <w:p w14:paraId="13A29D5D"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Вариант 1. За проектни предложения, които се осъществяват изключително чрез възлагане на обществени поръчки за стоки, услуги и строителни дейности, възстановяването на разходите става на база действително направени и платени допустими разходи. За тези проектни предложения се следва заложената бюджетна рамка в т. 14.3.</w:t>
            </w:r>
          </w:p>
          <w:p w14:paraId="607BB494"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При предоставяне на безвъзмездна финансова помощ под формата на действително направени разходи, задължително се посочват единични цени в описанието на дейностите по проекта. На етап техническа и финансова оценка на проектното предложение, оценителната комисия ще следи за средни пазарни цени на заложените разходи (където е приложимо) и в случай на необходимост ще пристъпи към редукция на бюджета. При </w:t>
            </w:r>
            <w:r w:rsidRPr="00AE35FA">
              <w:rPr>
                <w:rFonts w:ascii="Times New Roman" w:hAnsi="Times New Roman"/>
                <w:sz w:val="24"/>
                <w:szCs w:val="24"/>
              </w:rPr>
              <w:lastRenderedPageBreak/>
              <w:t>невъзможност да бъде оценен даден разход или е планиран в завишени стойности, това ще окаже влияние върху оценката на проектното предложение, съгласно настоящите Условия.</w:t>
            </w:r>
          </w:p>
          <w:p w14:paraId="04CB69A9"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 xml:space="preserve">Вариант 2. За проектни предложения,  които не се осъществяват изключително чрез възлагане на обществени поръчки за стоки, услуги и строителни дейности, ще се прилага опростено отчитане на разходите чрез определяне на  еднократни суми за отделните видове разходи, съгласно чл. 67, (1), т. (в) от Регламент 1303/2013.  </w:t>
            </w:r>
          </w:p>
          <w:p w14:paraId="0AA12E59"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Методът за изчисление размера на „еднократната сума“ е на база проектобюджет Приложение VII от документите за попълване, изготвен за конкретния случай и одобрен предварително от оценителната комисия на основание чл. 67 (5), буква „аа“ от Регламент 1303/2013, като остойностяването на разходите/дейността се формира на базата на:</w:t>
            </w:r>
          </w:p>
          <w:p w14:paraId="647BB76A"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 направено предложение от кандидата, подкрепено със съответната аргументация, извършена проверка от оценителната комисия и проведено договаряне; </w:t>
            </w:r>
          </w:p>
          <w:p w14:paraId="7938485A"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 на чл. 67 (5), буква „а“, точка (i)  от Регламент 1303/2013 - коректен, справедлив и проверим метод на изчисление, основаващ се на статистически данни – друга обективна информация (часови ставки за експертите, съгласно Методологията за регламентиране на възнагражденията и т. н.). </w:t>
            </w:r>
          </w:p>
          <w:p w14:paraId="7F3CA5A5"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непреки разходи, които са в размер на точно 10 % от преките допустими разходи ще се добавят към одобрения проектобюджет в отделен бюджетен ред.</w:t>
            </w:r>
          </w:p>
          <w:p w14:paraId="54AB9C02"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Проектобюджетът се използва, за да се изчислят всички допустими разходи за всеки бенефициент индивидуално. Разходите се залагат </w:t>
            </w:r>
            <w:r w:rsidRPr="00CE0058">
              <w:rPr>
                <w:rFonts w:ascii="Times New Roman" w:hAnsi="Times New Roman"/>
                <w:b/>
                <w:sz w:val="24"/>
                <w:szCs w:val="24"/>
              </w:rPr>
              <w:t>само в бюджетен ред 9./9.1.</w:t>
            </w:r>
            <w:r w:rsidRPr="00AE35FA">
              <w:rPr>
                <w:rFonts w:ascii="Times New Roman" w:hAnsi="Times New Roman"/>
                <w:sz w:val="24"/>
                <w:szCs w:val="24"/>
              </w:rPr>
              <w:t xml:space="preserve"> „ПРОЕКТОБЮДЖЕТ“.  Сумата е  изчислена въз основа на проектобюджет - Приложение VII от документите за попълване и попълнени от кандидата „План-сметки“ за всяка една от тези дейности. Всеки един разход, заложен в план-сметките на етап кандидатстване, трябва да бъде доказан със съответните насрещни документи</w:t>
            </w:r>
          </w:p>
          <w:p w14:paraId="568CD650"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Проектобюджетът на кандидата се формира от план-сметките на планираните дейности в проектното предложение. За всяка дейност, която ще осъществява, кандидатът трябва да попълни план-сметка, в която се посочват всички разходи, необходими за изпълнението на дейността. Всеки един разход, заложен в план-сметките на етап кандидатстване, трябва да бъде доказан със съответните насрещни документи.</w:t>
            </w:r>
          </w:p>
          <w:p w14:paraId="74068FE1"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Проектобюджетите ще бъдат одобрявани от оценителната комисия. В случай че ще се прилага опростено отчитане на разходите по време на оценката на проектното предложение, оценителната комисия може да изисква допълнителна информация и документи, доказващи заложените суми. Корекциите в бюджета ще се отразят служебно от оценителната комисия.</w:t>
            </w:r>
          </w:p>
          <w:p w14:paraId="3ACA9C41"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С одобряването на проектобюджета се одобряват/договарят и резултатите/крайните продукти, които ще се постигнат с изпълнението на дейностите. Резултатите следва да </w:t>
            </w:r>
            <w:r w:rsidRPr="00AE35FA">
              <w:rPr>
                <w:rFonts w:ascii="Times New Roman" w:hAnsi="Times New Roman"/>
                <w:sz w:val="24"/>
                <w:szCs w:val="24"/>
              </w:rPr>
              <w:lastRenderedPageBreak/>
              <w:t xml:space="preserve">бъдат ясно дефинирани и измерими. </w:t>
            </w:r>
          </w:p>
          <w:p w14:paraId="09D94AA6"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p>
          <w:p w14:paraId="70117E65"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Безвъзмездните средства се изплащат ако предварително установените договорености по отношение на дейностите, целите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w:t>
            </w:r>
          </w:p>
          <w:p w14:paraId="6A2ADC74"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При попълване на бюджета, Бенефициентът трябва точно да следва бюджетната рамка, </w:t>
            </w:r>
            <w:r w:rsidRPr="00CE0058">
              <w:rPr>
                <w:rFonts w:ascii="Times New Roman" w:hAnsi="Times New Roman"/>
                <w:b/>
                <w:sz w:val="24"/>
                <w:szCs w:val="24"/>
                <w:u w:val="single"/>
              </w:rPr>
              <w:t>като не е допустимо да се добавят нови видове разходи</w:t>
            </w:r>
            <w:r w:rsidRPr="00AE35FA">
              <w:rPr>
                <w:rFonts w:ascii="Times New Roman" w:hAnsi="Times New Roman"/>
                <w:sz w:val="24"/>
                <w:szCs w:val="24"/>
              </w:rPr>
              <w:t>, различни от посочените.</w:t>
            </w:r>
          </w:p>
          <w:p w14:paraId="09584069" w14:textId="5EEE95DF" w:rsidR="007A4CD2" w:rsidRPr="00AE35FA" w:rsidRDefault="007A4CD2" w:rsidP="007A4CD2">
            <w:pPr>
              <w:spacing w:after="240"/>
              <w:jc w:val="both"/>
              <w:rPr>
                <w:rFonts w:ascii="Times New Roman" w:hAnsi="Times New Roman"/>
                <w:sz w:val="24"/>
                <w:szCs w:val="24"/>
              </w:rPr>
            </w:pPr>
            <w:r w:rsidRPr="00CE0058">
              <w:rPr>
                <w:rFonts w:ascii="Times New Roman" w:hAnsi="Times New Roman"/>
                <w:b/>
                <w:sz w:val="24"/>
                <w:szCs w:val="24"/>
              </w:rPr>
              <w:t>Всички разходи се попълват в съответните редове с ДДС за бюджетните пера, в случаите, когато същият е невъзстановим</w:t>
            </w:r>
            <w:r w:rsidRPr="00AE35FA">
              <w:rPr>
                <w:rFonts w:ascii="Times New Roman" w:hAnsi="Times New Roman"/>
                <w:sz w:val="24"/>
                <w:szCs w:val="24"/>
              </w:rPr>
              <w:t xml:space="preserve"> по смисъла на Указания на министъра на финансите № ДНФ-3/ 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19ABAFB3"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Финансова информация – източници на финансиране (секция 6 от Формуляра)</w:t>
            </w:r>
          </w:p>
          <w:p w14:paraId="6A80184D"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В секция 6. Финансова информация – източници на финансиране от Формуляра за кандидатстване, в полето „Искано финансиране (Безвъзмездна финансова помощ) системата автоматично прехвърля общата сума на бюджета от секция 5. Бюджет.</w:t>
            </w:r>
          </w:p>
          <w:p w14:paraId="4F313D9B"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Кандидатът следва да попълни следните полета от таблицата:</w:t>
            </w:r>
          </w:p>
          <w:p w14:paraId="2F1531E9"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w:t>
            </w:r>
            <w:r w:rsidRPr="00AE35FA">
              <w:rPr>
                <w:rFonts w:ascii="Times New Roman" w:hAnsi="Times New Roman"/>
                <w:sz w:val="24"/>
                <w:szCs w:val="24"/>
              </w:rPr>
              <w:tab/>
              <w:t>Искано финансиране (Безвъзмездна финансова помощ), в т.ч. кръстосано финансиране - Ако не е предвидено кръстосано финансиране (СМР), полето не се попълва.</w:t>
            </w:r>
          </w:p>
          <w:p w14:paraId="5B287FE0" w14:textId="38876D41"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w:t>
            </w:r>
            <w:r w:rsidRPr="00AE35FA">
              <w:rPr>
                <w:rFonts w:ascii="Times New Roman" w:hAnsi="Times New Roman"/>
                <w:sz w:val="24"/>
                <w:szCs w:val="24"/>
              </w:rPr>
              <w:tab/>
              <w:t>Съфинансиране от бенефициента/партньорите (средства от бюджетни предприятия) – в случай, че е предвиден, собствен принос в бюджета на проекта. Ако не е предвиден собствен принос, полето не се попълва</w:t>
            </w:r>
            <w:r w:rsidR="00C43A47">
              <w:rPr>
                <w:rFonts w:ascii="Times New Roman" w:hAnsi="Times New Roman"/>
                <w:sz w:val="24"/>
                <w:szCs w:val="24"/>
              </w:rPr>
              <w:t>-</w:t>
            </w:r>
            <w:r w:rsidRPr="00AE35FA">
              <w:rPr>
                <w:rFonts w:ascii="Times New Roman" w:hAnsi="Times New Roman"/>
                <w:sz w:val="24"/>
                <w:szCs w:val="24"/>
              </w:rPr>
              <w:t>НЕПРИЛОЖИМО</w:t>
            </w:r>
          </w:p>
          <w:p w14:paraId="3BBE921C"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w:t>
            </w:r>
            <w:r w:rsidRPr="00AE35FA">
              <w:rPr>
                <w:rFonts w:ascii="Times New Roman" w:hAnsi="Times New Roman"/>
                <w:sz w:val="24"/>
                <w:szCs w:val="24"/>
              </w:rPr>
              <w:tab/>
              <w:t xml:space="preserve">Съфинансиране от бенефициента/партньорите </w:t>
            </w:r>
            <w:r w:rsidRPr="00390DF0">
              <w:rPr>
                <w:rFonts w:ascii="Times New Roman" w:hAnsi="Times New Roman"/>
                <w:b/>
                <w:sz w:val="24"/>
                <w:szCs w:val="24"/>
              </w:rPr>
              <w:t>(средства от бенефициенти, които не са бюджетни предприятия)</w:t>
            </w:r>
            <w:r w:rsidRPr="00AE35FA">
              <w:rPr>
                <w:rFonts w:ascii="Times New Roman" w:hAnsi="Times New Roman"/>
                <w:sz w:val="24"/>
                <w:szCs w:val="24"/>
              </w:rPr>
              <w:t xml:space="preserve"> – в случай, че е предвиден, собствен принос в бюджета на проекта. Ако не е предвиден собствен принос, полето не се попълва.</w:t>
            </w:r>
          </w:p>
          <w:p w14:paraId="18F81EEE" w14:textId="77777777" w:rsidR="007A4CD2" w:rsidRPr="00390DF0" w:rsidRDefault="007A4CD2" w:rsidP="007A4CD2">
            <w:pPr>
              <w:spacing w:after="240"/>
              <w:jc w:val="both"/>
              <w:rPr>
                <w:rFonts w:ascii="Times New Roman" w:hAnsi="Times New Roman"/>
                <w:b/>
                <w:sz w:val="24"/>
                <w:szCs w:val="24"/>
              </w:rPr>
            </w:pPr>
            <w:r w:rsidRPr="00390DF0">
              <w:rPr>
                <w:rFonts w:ascii="Times New Roman" w:hAnsi="Times New Roman"/>
                <w:b/>
                <w:sz w:val="24"/>
                <w:szCs w:val="24"/>
              </w:rPr>
              <w:t xml:space="preserve">За проектни предложения, които се осъществяват изключително чрез възлагане на обществени поръчки за стоки, услуги и строителни дейности, възстановяването на разходите става на база действително направени и платени допустими разходи </w:t>
            </w:r>
            <w:r w:rsidRPr="00390DF0">
              <w:rPr>
                <w:rFonts w:ascii="Times New Roman" w:hAnsi="Times New Roman"/>
                <w:b/>
                <w:sz w:val="24"/>
                <w:szCs w:val="24"/>
              </w:rPr>
              <w:lastRenderedPageBreak/>
              <w:t>(Вариант 1 на бюджета, посочен в т. 14.2 и 14.3. от Условията за кандидатстване). При попълване на Бюджета (Вариант 1) всеки кандидат следва да планира само преките си разходи (безвъзмездна финансова помощ и съфинансиране – ако е приложимо). Непреките разходи, които са в размер точно на 10 % от преките допустими разходи ще бъдат служебно отразени от оценителната комисия в бюджета на всяко проектното предложение. В случай че кандидатите не желаят да им се начисляват служебно непреки разходи, това обстоятелство следва да бъде декларирано в т. 11.5 от Формуляра за кандидатстване.</w:t>
            </w:r>
          </w:p>
          <w:p w14:paraId="01C75360" w14:textId="77777777" w:rsidR="007A4CD2" w:rsidRPr="00390DF0" w:rsidRDefault="007A4CD2" w:rsidP="007A4CD2">
            <w:pPr>
              <w:spacing w:after="240"/>
              <w:jc w:val="both"/>
              <w:rPr>
                <w:rFonts w:ascii="Times New Roman" w:hAnsi="Times New Roman"/>
                <w:b/>
                <w:sz w:val="24"/>
                <w:szCs w:val="24"/>
              </w:rPr>
            </w:pPr>
            <w:r w:rsidRPr="00390DF0">
              <w:rPr>
                <w:rFonts w:ascii="Times New Roman" w:hAnsi="Times New Roman"/>
                <w:b/>
                <w:sz w:val="24"/>
                <w:szCs w:val="24"/>
              </w:rPr>
              <w:t>Останалите полета в секция 6. Финансова информация – източници на финансиране са неприложими по настоящата процедура!</w:t>
            </w:r>
          </w:p>
          <w:p w14:paraId="56D64538" w14:textId="77777777" w:rsidR="007A4CD2" w:rsidRPr="00390DF0" w:rsidRDefault="007A4CD2" w:rsidP="007A4CD2">
            <w:pPr>
              <w:spacing w:after="240"/>
              <w:jc w:val="both"/>
              <w:rPr>
                <w:rFonts w:ascii="Times New Roman" w:hAnsi="Times New Roman"/>
                <w:b/>
                <w:sz w:val="24"/>
                <w:szCs w:val="24"/>
              </w:rPr>
            </w:pPr>
            <w:r w:rsidRPr="00390DF0">
              <w:rPr>
                <w:rFonts w:ascii="Times New Roman" w:hAnsi="Times New Roman"/>
                <w:b/>
                <w:sz w:val="24"/>
                <w:szCs w:val="24"/>
              </w:rPr>
              <w:t>Попълването и на двете части 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752A49CA" w14:textId="77777777" w:rsidR="007A4CD2" w:rsidRPr="00390DF0" w:rsidRDefault="007A4CD2" w:rsidP="007A4CD2">
            <w:pPr>
              <w:spacing w:after="240"/>
              <w:jc w:val="both"/>
              <w:rPr>
                <w:rFonts w:ascii="Times New Roman" w:hAnsi="Times New Roman"/>
                <w:b/>
                <w:sz w:val="24"/>
                <w:szCs w:val="24"/>
              </w:rPr>
            </w:pPr>
            <w:r w:rsidRPr="00390DF0">
              <w:rPr>
                <w:rFonts w:ascii="Times New Roman" w:hAnsi="Times New Roman"/>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725DB00F" w14:textId="77777777" w:rsidR="007A4CD2" w:rsidRPr="00390DF0" w:rsidRDefault="007A4CD2" w:rsidP="007A4CD2">
            <w:pPr>
              <w:spacing w:after="240"/>
              <w:jc w:val="both"/>
              <w:rPr>
                <w:rFonts w:ascii="Times New Roman" w:hAnsi="Times New Roman"/>
                <w:b/>
                <w:sz w:val="24"/>
                <w:szCs w:val="24"/>
              </w:rPr>
            </w:pPr>
            <w:r w:rsidRPr="00390DF0">
              <w:rPr>
                <w:rFonts w:ascii="Times New Roman" w:hAnsi="Times New Roman"/>
                <w:b/>
                <w:sz w:val="24"/>
                <w:szCs w:val="24"/>
              </w:rPr>
              <w:t xml:space="preserve">Всички разходи обхванати в бюджета на проекта, с изключение на непреките разходи,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14:paraId="0F381C06" w14:textId="77777777" w:rsidR="007A4CD2" w:rsidRPr="00390DF0" w:rsidRDefault="007A4CD2" w:rsidP="007A4CD2">
            <w:pPr>
              <w:spacing w:after="240"/>
              <w:jc w:val="both"/>
              <w:rPr>
                <w:rFonts w:ascii="Times New Roman" w:hAnsi="Times New Roman"/>
                <w:b/>
                <w:sz w:val="24"/>
                <w:szCs w:val="24"/>
              </w:rPr>
            </w:pPr>
            <w:r w:rsidRPr="00390DF0">
              <w:rPr>
                <w:rFonts w:ascii="Times New Roman" w:hAnsi="Times New Roman"/>
                <w:b/>
                <w:sz w:val="24"/>
                <w:szCs w:val="24"/>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посочени в описанието на съответната дейност.  </w:t>
            </w:r>
          </w:p>
          <w:p w14:paraId="7697CD4C" w14:textId="77777777" w:rsidR="008A057C" w:rsidRPr="00AE35FA" w:rsidRDefault="007A4CD2" w:rsidP="007A4CD2">
            <w:pPr>
              <w:spacing w:after="240"/>
              <w:jc w:val="both"/>
              <w:rPr>
                <w:rFonts w:ascii="Times New Roman" w:eastAsia="Times New Roman" w:hAnsi="Times New Roman"/>
                <w:sz w:val="24"/>
                <w:szCs w:val="24"/>
                <w:lang w:eastAsia="bg-BG"/>
              </w:rPr>
            </w:pPr>
            <w:r w:rsidRPr="00390DF0">
              <w:rPr>
                <w:rFonts w:ascii="Times New Roman" w:hAnsi="Times New Roman"/>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3051F6A1" w14:textId="77777777" w:rsidR="00F74CEC" w:rsidRPr="00CE0058" w:rsidRDefault="002705DF" w:rsidP="007570DC">
      <w:pPr>
        <w:pStyle w:val="Heading2"/>
        <w:rPr>
          <w:color w:val="auto"/>
        </w:rPr>
      </w:pPr>
      <w:bookmarkStart w:id="32" w:name="_Toc445385594"/>
      <w:r w:rsidRPr="00CE0058">
        <w:rPr>
          <w:color w:val="auto"/>
        </w:rPr>
        <w:lastRenderedPageBreak/>
        <w:t>14.3. Допустими разходи</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2705DF" w:rsidRPr="00AE35FA" w14:paraId="4522D1EC" w14:textId="77777777">
        <w:tc>
          <w:tcPr>
            <w:tcW w:w="9496" w:type="dxa"/>
          </w:tcPr>
          <w:p w14:paraId="536F4C90"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225CF152" w14:textId="77777777" w:rsidR="00CB5CD1" w:rsidRDefault="00CB5CD1" w:rsidP="00AE35FA">
            <w:pPr>
              <w:pStyle w:val="ListParagraph1"/>
              <w:spacing w:after="360" w:line="240" w:lineRule="auto"/>
              <w:ind w:left="0"/>
              <w:jc w:val="both"/>
              <w:rPr>
                <w:rFonts w:ascii="Times New Roman" w:eastAsia="Times New Roman" w:hAnsi="Times New Roman"/>
                <w:sz w:val="24"/>
                <w:szCs w:val="24"/>
                <w:lang w:eastAsia="bg-BG"/>
              </w:rPr>
            </w:pPr>
          </w:p>
          <w:p w14:paraId="6FD9147D" w14:textId="04B1BEC6"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По настоящата схема се въвежда максимално допустима средна цена за извършения превоз на пътници, която не може да надхвърля </w:t>
            </w:r>
            <w:r w:rsidRPr="00CE0058">
              <w:rPr>
                <w:rFonts w:ascii="Times New Roman" w:eastAsia="Times New Roman" w:hAnsi="Times New Roman"/>
                <w:b/>
                <w:sz w:val="24"/>
                <w:szCs w:val="24"/>
                <w:lang w:eastAsia="bg-BG"/>
              </w:rPr>
              <w:t>0,50 лв./км</w:t>
            </w:r>
            <w:r w:rsidRPr="00AE35FA">
              <w:rPr>
                <w:rFonts w:ascii="Times New Roman" w:eastAsia="Times New Roman" w:hAnsi="Times New Roman"/>
                <w:sz w:val="24"/>
                <w:szCs w:val="24"/>
                <w:lang w:eastAsia="bg-BG"/>
              </w:rPr>
              <w:t xml:space="preserve"> за едно превозно средство, независимо от броя на пътниците в него.</w:t>
            </w:r>
          </w:p>
          <w:p w14:paraId="31F06F39" w14:textId="77777777" w:rsidR="00CB5CD1" w:rsidRPr="00AE35FA" w:rsidRDefault="00CB5CD1" w:rsidP="00AE35FA">
            <w:pPr>
              <w:pStyle w:val="ListParagraph1"/>
              <w:spacing w:after="360" w:line="240" w:lineRule="auto"/>
              <w:ind w:left="0"/>
              <w:jc w:val="both"/>
              <w:rPr>
                <w:rFonts w:ascii="Times New Roman" w:eastAsia="Times New Roman" w:hAnsi="Times New Roman"/>
                <w:sz w:val="24"/>
                <w:szCs w:val="24"/>
                <w:lang w:eastAsia="bg-BG"/>
              </w:rPr>
            </w:pPr>
          </w:p>
          <w:p w14:paraId="75F3F9FD"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В случай че кандидатът осъществява превоза, средната стойност на извършения превоз на пътници се формира на база общия размер на преките допустими разходи, извършени за осъществяване на превоза на пътници, разделени на общия брой изминати километри.</w:t>
            </w:r>
          </w:p>
          <w:p w14:paraId="06F6464E" w14:textId="77777777" w:rsidR="009141DC" w:rsidRDefault="009141DC" w:rsidP="00AE35FA">
            <w:pPr>
              <w:pStyle w:val="ListParagraph1"/>
              <w:spacing w:after="360" w:line="240" w:lineRule="auto"/>
              <w:ind w:left="0"/>
              <w:jc w:val="both"/>
              <w:rPr>
                <w:rFonts w:ascii="Times New Roman" w:eastAsia="Times New Roman" w:hAnsi="Times New Roman"/>
                <w:sz w:val="24"/>
                <w:szCs w:val="24"/>
                <w:lang w:eastAsia="bg-BG"/>
              </w:rPr>
            </w:pPr>
          </w:p>
          <w:p w14:paraId="2BCA6568" w14:textId="0E484E73"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При формиране на средната цена на осъществения превоз на пътници, се включват </w:t>
            </w:r>
            <w:r w:rsidRPr="00AE35FA">
              <w:rPr>
                <w:rFonts w:ascii="Times New Roman" w:eastAsia="Times New Roman" w:hAnsi="Times New Roman"/>
                <w:sz w:val="24"/>
                <w:szCs w:val="24"/>
                <w:lang w:eastAsia="bg-BG"/>
              </w:rPr>
              <w:lastRenderedPageBreak/>
              <w:t>разходите за възнаграждения и осигуровки от страна на работодателя лицата, които ще извършват превоза на пътници (Бюджетно перо 1./ 1.1.) и разходите за гориво (Бюджетно перо 3./3.3.). В калкулираната цена за извършения превоз на пътници НЕ могат да бъдат включени други разходи (напр. винетни стикери, ГТП, данъчни плащания и т.н.)</w:t>
            </w:r>
          </w:p>
          <w:p w14:paraId="6B2644A0" w14:textId="77777777" w:rsidR="009141DC" w:rsidRPr="00AE35FA" w:rsidRDefault="009141DC" w:rsidP="00AE35FA">
            <w:pPr>
              <w:pStyle w:val="ListParagraph1"/>
              <w:spacing w:after="360" w:line="240" w:lineRule="auto"/>
              <w:ind w:left="0"/>
              <w:jc w:val="both"/>
              <w:rPr>
                <w:rFonts w:ascii="Times New Roman" w:eastAsia="Times New Roman" w:hAnsi="Times New Roman"/>
                <w:sz w:val="24"/>
                <w:szCs w:val="24"/>
                <w:lang w:eastAsia="bg-BG"/>
              </w:rPr>
            </w:pPr>
          </w:p>
          <w:p w14:paraId="0EA1226C"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56B24254"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0FA77A18"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ВАРИАНТ 1 – Приложим за проектни предложения, които се осъществяват изключително чрез възлагане на обществени поръчки за стоки, услуги и строителни дейности.</w:t>
            </w:r>
          </w:p>
          <w:p w14:paraId="27039B93"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50741A5D"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І. РАЗХОДИ ЗА ПЕРСОНАЛ</w:t>
            </w:r>
          </w:p>
          <w:p w14:paraId="112431F6"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CE0058">
              <w:rPr>
                <w:rFonts w:ascii="Times New Roman" w:eastAsia="Times New Roman" w:hAnsi="Times New Roman"/>
                <w:b/>
                <w:sz w:val="24"/>
                <w:szCs w:val="24"/>
                <w:lang w:eastAsia="bg-BG"/>
              </w:rPr>
              <w:t>1. Разходи за възнаграждения</w:t>
            </w:r>
          </w:p>
          <w:p w14:paraId="349D6B7B"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1.1. Разходи за трудови възнаграждения по реда на КТ, вкл. осигурителните вноски, начислени за сметка на работодателя върху договореното възнаграждение по проекта,  на лицата, </w:t>
            </w:r>
            <w:r w:rsidRPr="00CE0058">
              <w:rPr>
                <w:rFonts w:ascii="Times New Roman" w:eastAsia="Times New Roman" w:hAnsi="Times New Roman"/>
                <w:b/>
                <w:sz w:val="24"/>
                <w:szCs w:val="24"/>
                <w:lang w:eastAsia="bg-BG"/>
              </w:rPr>
              <w:t>пряко ангажирани с изпълнението на преките дейности по проекта.</w:t>
            </w:r>
          </w:p>
          <w:p w14:paraId="3B4505AB" w14:textId="77777777" w:rsidR="0060540B" w:rsidRDefault="0060540B" w:rsidP="00AE35FA">
            <w:pPr>
              <w:pStyle w:val="ListParagraph1"/>
              <w:spacing w:after="360" w:line="240" w:lineRule="auto"/>
              <w:ind w:left="0"/>
              <w:jc w:val="both"/>
              <w:rPr>
                <w:rFonts w:ascii="Times New Roman" w:eastAsia="Times New Roman" w:hAnsi="Times New Roman"/>
                <w:sz w:val="24"/>
                <w:szCs w:val="24"/>
                <w:lang w:eastAsia="bg-BG"/>
              </w:rPr>
            </w:pPr>
          </w:p>
          <w:p w14:paraId="1631219B" w14:textId="3E773ACB"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В бюджетно перо 1./1.1. следва да се посочват разходи за брутни възнаграждения, осигуровки за сметка на работодателя и доплащания по приложимото национално законодателство на лицата, пряко ангажирани с изпълнението на финансираните дейности и необходими за тяхната подготовка и осъществяване. </w:t>
            </w:r>
          </w:p>
          <w:p w14:paraId="789456ED" w14:textId="77777777" w:rsidR="007D06E9" w:rsidRDefault="007D06E9" w:rsidP="00AE35FA">
            <w:pPr>
              <w:pStyle w:val="ListParagraph1"/>
              <w:spacing w:after="360" w:line="240" w:lineRule="auto"/>
              <w:ind w:left="0"/>
              <w:jc w:val="both"/>
              <w:rPr>
                <w:rFonts w:ascii="Times New Roman" w:eastAsia="Times New Roman" w:hAnsi="Times New Roman"/>
                <w:sz w:val="24"/>
                <w:szCs w:val="24"/>
                <w:lang w:eastAsia="bg-BG"/>
              </w:rPr>
            </w:pPr>
          </w:p>
          <w:p w14:paraId="75E2FB91" w14:textId="7F1751F6"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Планираните разходи за възнаграждения в бюджетно перо 1./1.1. следва да бъдат заложени при спазване на разпоредбите на Методологията за регламентиране на възнагражденията по ОП РЧР 2014 – 2020, като размерът на почасовото заплащане на наетите по проекта лица, не може да бъде по-висок от размера на почасовото им заплащане, определен с акта за назначаването им или с основния им трудов договор и да бъде по-висок от стойностите, заложени в Таблицата за възнагражденията – Приложение за информация (Annex_Н) към Условията за кандидатстване.</w:t>
            </w:r>
          </w:p>
          <w:p w14:paraId="60BB2202" w14:textId="77777777" w:rsidR="007D06E9" w:rsidRPr="00AE35FA" w:rsidRDefault="007D06E9" w:rsidP="00AE35FA">
            <w:pPr>
              <w:pStyle w:val="ListParagraph1"/>
              <w:spacing w:after="360" w:line="240" w:lineRule="auto"/>
              <w:ind w:left="0"/>
              <w:jc w:val="both"/>
              <w:rPr>
                <w:rFonts w:ascii="Times New Roman" w:eastAsia="Times New Roman" w:hAnsi="Times New Roman"/>
                <w:sz w:val="24"/>
                <w:szCs w:val="24"/>
                <w:lang w:eastAsia="bg-BG"/>
              </w:rPr>
            </w:pPr>
          </w:p>
          <w:p w14:paraId="1FD9D5BA" w14:textId="3CB050DD"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Кандидатите следва да имат предвид, че разходите за заплащане на лицата, които ще извършват превоза на пътници от и до работното място са допустими само за времето, в което лицата са пряко ангажирани с превоза на пътници и свързаните с него дейности и са допустими в размер до 4,20 лв./час.</w:t>
            </w:r>
          </w:p>
          <w:p w14:paraId="02E8F15A"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3D7FC6B0"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2. Разходи за командировки</w:t>
            </w:r>
          </w:p>
          <w:p w14:paraId="69F6223B"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2.1. Разходи за командировки (дневни, пътни и квартирни) на лицата, получаващи възнаграждения по бюджетно перо 1./1.1. </w:t>
            </w:r>
          </w:p>
          <w:p w14:paraId="228C2F8A"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Разходите по бюджетен ред 2/2.1. са допустими, в случай че са пряко свързани с финансираните дейности и доказано необходими за постигане на поставените цели, подробно описани и обосновани в дейностите по проектното предложение.</w:t>
            </w:r>
          </w:p>
          <w:p w14:paraId="77088F81" w14:textId="77777777"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В бюджетно перо 2/2.1. не следва да се отчитат разходи, свързани с транспортни услуги. Разходите за командировки следва да са съобразени с ограниченията, съгласно Наредбата за командировките в страната, както и при избор на най-икономичен маршрут и превозно средство. </w:t>
            </w:r>
          </w:p>
          <w:p w14:paraId="1E7647EB" w14:textId="77777777" w:rsidR="00FB17AE" w:rsidRPr="00AE35FA"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3AB1C62F"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ІІ. РАЗХОДИ ЗА МАТЕРИАЛИ</w:t>
            </w:r>
          </w:p>
          <w:p w14:paraId="510CBB4F"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lastRenderedPageBreak/>
              <w:t>3. Разходи за материали</w:t>
            </w:r>
          </w:p>
          <w:p w14:paraId="707AB56A"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3.1. Разходи за материали и консумативи, необходими за осъществяването на преките дейности по проекта. </w:t>
            </w:r>
          </w:p>
          <w:p w14:paraId="302B7A73"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3.2. Разходи за закупуване на специално работно облекло и ЛПС, необходими за осъществяването на Дейност 3.2.</w:t>
            </w:r>
          </w:p>
          <w:p w14:paraId="0F05643F"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3.3. Разходи за гориво за използваните МПС по Дейност 2.</w:t>
            </w:r>
          </w:p>
          <w:p w14:paraId="67ABB99D" w14:textId="77777777" w:rsidR="007D06E9" w:rsidRDefault="007D06E9" w:rsidP="00AE35FA">
            <w:pPr>
              <w:pStyle w:val="ListParagraph1"/>
              <w:spacing w:after="360" w:line="240" w:lineRule="auto"/>
              <w:ind w:left="0"/>
              <w:jc w:val="both"/>
              <w:rPr>
                <w:rFonts w:ascii="Times New Roman" w:eastAsia="Times New Roman" w:hAnsi="Times New Roman"/>
                <w:sz w:val="24"/>
                <w:szCs w:val="24"/>
                <w:lang w:eastAsia="bg-BG"/>
              </w:rPr>
            </w:pPr>
          </w:p>
          <w:p w14:paraId="5CE38FE3" w14:textId="2B835049"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Разходите за гориво, изразходвано по време на превоза на пътници от и до работното място със собствен транспорт, подлежи на възлагане по реда на ЗУСЕСИФ/ПМС № 160 от 01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или ЗОП, в зависимост от това, дали Кандидатът се явява възложител по реда на ЗОП или не.</w:t>
            </w:r>
          </w:p>
          <w:p w14:paraId="2113F0DA" w14:textId="11877B61"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Когато кандидатът заложи разходи в този бюджетен раздел не е допустимо да залага разходи за превоз на пътници в бюджетен ред </w:t>
            </w:r>
            <w:r w:rsidR="00C73EB8">
              <w:rPr>
                <w:rFonts w:ascii="Times New Roman" w:eastAsia="Times New Roman" w:hAnsi="Times New Roman"/>
                <w:sz w:val="24"/>
                <w:szCs w:val="24"/>
                <w:lang w:eastAsia="bg-BG"/>
              </w:rPr>
              <w:t>5</w:t>
            </w:r>
            <w:r w:rsidRPr="00AE35FA">
              <w:rPr>
                <w:rFonts w:ascii="Times New Roman" w:eastAsia="Times New Roman" w:hAnsi="Times New Roman"/>
                <w:sz w:val="24"/>
                <w:szCs w:val="24"/>
                <w:lang w:eastAsia="bg-BG"/>
              </w:rPr>
              <w:t>./</w:t>
            </w:r>
            <w:r w:rsidR="00C73EB8">
              <w:rPr>
                <w:rFonts w:ascii="Times New Roman" w:eastAsia="Times New Roman" w:hAnsi="Times New Roman"/>
                <w:sz w:val="24"/>
                <w:szCs w:val="24"/>
                <w:lang w:eastAsia="bg-BG"/>
              </w:rPr>
              <w:t>5</w:t>
            </w:r>
            <w:r w:rsidRPr="00AE35FA">
              <w:rPr>
                <w:rFonts w:ascii="Times New Roman" w:eastAsia="Times New Roman" w:hAnsi="Times New Roman"/>
                <w:sz w:val="24"/>
                <w:szCs w:val="24"/>
                <w:lang w:eastAsia="bg-BG"/>
              </w:rPr>
              <w:t>.</w:t>
            </w:r>
            <w:r w:rsidR="00C73EB8">
              <w:rPr>
                <w:rFonts w:ascii="Times New Roman" w:eastAsia="Times New Roman" w:hAnsi="Times New Roman"/>
                <w:sz w:val="24"/>
                <w:szCs w:val="24"/>
                <w:lang w:eastAsia="bg-BG"/>
              </w:rPr>
              <w:t>2</w:t>
            </w:r>
            <w:r w:rsidRPr="00AE35FA">
              <w:rPr>
                <w:rFonts w:ascii="Times New Roman" w:eastAsia="Times New Roman" w:hAnsi="Times New Roman"/>
                <w:sz w:val="24"/>
                <w:szCs w:val="24"/>
                <w:lang w:eastAsia="bg-BG"/>
              </w:rPr>
              <w:t xml:space="preserve"> „Разходи, произтичащи от договори за изработка/услуги или договори за поръчка по реда на ЗЗД, неквалифицирани другаде“.</w:t>
            </w:r>
          </w:p>
          <w:p w14:paraId="150B9891" w14:textId="77777777" w:rsidR="00FB17AE" w:rsidRPr="00AE35FA"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78E89D15"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ІІІ. РАЗХОДИ ЗА МАТЕРИАЛНИ АКТИВИ</w:t>
            </w:r>
          </w:p>
          <w:p w14:paraId="0EDF277E"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4. Разходи за материални активи</w:t>
            </w:r>
          </w:p>
          <w:p w14:paraId="21FABFCD" w14:textId="1594E918"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Допустимо е закупуване на дълготрайни материални активи, пряко свързани с осъществяване на Дейности 3.1. и 4, необходими за постигане на поставените цели, както и подробно мотивирани в проектното предложение</w:t>
            </w:r>
            <w:r w:rsidR="0060540B">
              <w:rPr>
                <w:rFonts w:ascii="Times New Roman" w:eastAsia="Times New Roman" w:hAnsi="Times New Roman"/>
                <w:sz w:val="24"/>
                <w:szCs w:val="24"/>
                <w:lang w:eastAsia="bg-BG"/>
              </w:rPr>
              <w:t>.</w:t>
            </w:r>
            <w:r w:rsidRPr="00AE35FA">
              <w:rPr>
                <w:rFonts w:ascii="Times New Roman" w:eastAsia="Times New Roman" w:hAnsi="Times New Roman"/>
                <w:sz w:val="24"/>
                <w:szCs w:val="24"/>
                <w:lang w:eastAsia="bg-BG"/>
              </w:rPr>
              <w:t xml:space="preserve"> </w:t>
            </w:r>
          </w:p>
          <w:p w14:paraId="2B9CE9B3"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4.1. Разходи за закупуване на средства за колективна защита, свързани с подобряване на условията на труд, необходими за осъществяването на Дейност 3.1.</w:t>
            </w:r>
          </w:p>
          <w:p w14:paraId="3DBE43C8" w14:textId="77777777"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4.2. Разходи за закупуване на оборудване, обзавеждане и стопански инвентар, пряко свързани с осъществяването на Дейност 4.</w:t>
            </w:r>
          </w:p>
          <w:p w14:paraId="473B1BA2" w14:textId="77777777" w:rsidR="00FB17AE" w:rsidRPr="00AE35FA"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419FF6BC"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Планираните разходи в бюджетни раздели II и ІІІ следва да са пряко свързани с финансираните дейности и необходими за постигане на поставените цели, както и подробно мотивирани в проектното предложение.</w:t>
            </w:r>
          </w:p>
          <w:p w14:paraId="30C95ED1" w14:textId="77777777" w:rsidR="00FB17AE" w:rsidRPr="00CE0058" w:rsidRDefault="00FB17AE" w:rsidP="00AE35FA">
            <w:pPr>
              <w:pStyle w:val="ListParagraph1"/>
              <w:spacing w:after="360" w:line="240" w:lineRule="auto"/>
              <w:ind w:left="0"/>
              <w:jc w:val="both"/>
              <w:rPr>
                <w:rFonts w:ascii="Times New Roman" w:eastAsia="Times New Roman" w:hAnsi="Times New Roman"/>
                <w:b/>
                <w:sz w:val="24"/>
                <w:szCs w:val="24"/>
                <w:lang w:eastAsia="bg-BG"/>
              </w:rPr>
            </w:pPr>
          </w:p>
          <w:p w14:paraId="38474D92"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Няма да бъдат финансирани работни облекла, съгласно Наредбата за безплатно работно и униформено облекло, приета с ПМС № 10 от 20.01.2011 г., обн. ДВ. Бр. 9 от 28 януари 2011 г.</w:t>
            </w:r>
          </w:p>
          <w:p w14:paraId="2277A51F"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Няма да бъдат финансирани резервни бройки на ЛПС и на специално работно облекло.</w:t>
            </w:r>
          </w:p>
          <w:p w14:paraId="630649E3" w14:textId="77777777" w:rsidR="00FB17AE" w:rsidRPr="00CE0058" w:rsidRDefault="00FB17AE" w:rsidP="00CE0058">
            <w:pPr>
              <w:pStyle w:val="ListParagraph1"/>
              <w:spacing w:after="360" w:line="240" w:lineRule="auto"/>
              <w:ind w:left="0"/>
              <w:jc w:val="both"/>
              <w:rPr>
                <w:rFonts w:ascii="Times New Roman" w:eastAsia="Times New Roman" w:hAnsi="Times New Roman"/>
                <w:b/>
                <w:sz w:val="24"/>
                <w:szCs w:val="24"/>
                <w:lang w:eastAsia="bg-BG"/>
              </w:rPr>
            </w:pPr>
          </w:p>
          <w:p w14:paraId="034D6914" w14:textId="77777777" w:rsidR="00AE35FA" w:rsidRDefault="00AE35FA" w:rsidP="00CE0058">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По процедурата не се финансира закупуването на превозно средство за изпълнението на дейност 2.</w:t>
            </w:r>
          </w:p>
          <w:p w14:paraId="4BC4CF0D" w14:textId="77777777" w:rsidR="00FB17AE" w:rsidRPr="00CE0058" w:rsidRDefault="00FB17AE" w:rsidP="00CE0058">
            <w:pPr>
              <w:pStyle w:val="ListParagraph1"/>
              <w:spacing w:after="360" w:line="240" w:lineRule="auto"/>
              <w:ind w:left="0"/>
              <w:jc w:val="both"/>
              <w:rPr>
                <w:rFonts w:ascii="Times New Roman" w:eastAsia="Times New Roman" w:hAnsi="Times New Roman"/>
                <w:b/>
                <w:sz w:val="24"/>
                <w:szCs w:val="24"/>
                <w:lang w:eastAsia="bg-BG"/>
              </w:rPr>
            </w:pPr>
          </w:p>
          <w:p w14:paraId="5847F4B3"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IV. РАЗХОДИ ЗА УСЛУГИ</w:t>
            </w:r>
          </w:p>
          <w:p w14:paraId="5B8352BD"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5. Разходи за услуги</w:t>
            </w:r>
          </w:p>
          <w:p w14:paraId="580A0316"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13254873"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5.1. Разходи за застраховки на придобитото оборудване.</w:t>
            </w:r>
          </w:p>
          <w:p w14:paraId="18591502"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Посочените разходи в бюджетно перо 5.1 следва да бъдат планирани съгласно разпоредбите на глава 5, раздел I от ЗУСЕСИФ и ПМС № 189/28.07.2016 г. и за срок не по- дълъг  от срока на изпълнение на проектните дейности.</w:t>
            </w:r>
          </w:p>
          <w:p w14:paraId="2C87AE2B"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6C316330"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lastRenderedPageBreak/>
              <w:t>5.2. Разходи, произтичащи от договори за изработка/услуги или договори за поръчка по реда на ЗЗД. Тук следва да бъдат заложени и разходи за превоз на пътници в реален размер, в случай че такива не са предвидени в бюджетни пера 1./1.1 и 3./3.3., но не повече от 0,50 лв./км. за едно превозно средство, независимо от броя на пътниците в него.</w:t>
            </w:r>
          </w:p>
          <w:p w14:paraId="3DB711CA"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333234D8"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6. Разходи за придобиване на стандарти за безопасни условия на труд</w:t>
            </w:r>
          </w:p>
          <w:p w14:paraId="282220BB"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6.1. Разходи за подготовка на внедряване на стандарт за безопасни условия на труд и разходи за сертифициране и придобиване на сертификат по Дейност 3.3. </w:t>
            </w:r>
          </w:p>
          <w:p w14:paraId="404E6CBE"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Тук следва да се заложат и разходи за подготовка на внедряване на стандарт за безопасни условия на труд и разходи за сертифициране и придобиване на сертификат, в случай че е предвиден такъв в Дейност 3.3. </w:t>
            </w:r>
          </w:p>
          <w:p w14:paraId="1BAE8174"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10A8FD1C"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Предвидените разходи в бюджетно перо  6/6.1 сумарно не могат да надхвърлят 10 % от стойността на допустимите преки разходи по проекта.</w:t>
            </w:r>
          </w:p>
          <w:p w14:paraId="3E02D6F7"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0DFD99A0" w14:textId="77777777"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В случаите, в които планираните разходи в бюджетен раздел V. „Разходи за услуги“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и да не бъде по-високо от стойностите, заложени в Таблицата за определяне на допустимите почасови ставки. Това не ограничава на етап изпълнение, планираните по този начин разходи, да бъдат възложени и на юридически лица при определените в бюджета стойности.</w:t>
            </w:r>
          </w:p>
          <w:p w14:paraId="54FB4513" w14:textId="77777777" w:rsidR="00FB17AE" w:rsidRPr="00CE0058" w:rsidRDefault="00FB17AE" w:rsidP="00AE35FA">
            <w:pPr>
              <w:pStyle w:val="ListParagraph1"/>
              <w:spacing w:after="360" w:line="240" w:lineRule="auto"/>
              <w:ind w:left="0"/>
              <w:jc w:val="both"/>
              <w:rPr>
                <w:rFonts w:ascii="Times New Roman" w:eastAsia="Times New Roman" w:hAnsi="Times New Roman"/>
                <w:b/>
                <w:sz w:val="24"/>
                <w:szCs w:val="24"/>
                <w:lang w:eastAsia="bg-BG"/>
              </w:rPr>
            </w:pPr>
          </w:p>
          <w:p w14:paraId="4695BB59"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V. РАЗХОДИ ЗА СТРОИТЕЛНО МОНТАЖНИ РАБОТИ</w:t>
            </w:r>
          </w:p>
          <w:p w14:paraId="7941302D" w14:textId="77777777"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E35FA">
              <w:rPr>
                <w:rFonts w:ascii="Times New Roman" w:eastAsia="Times New Roman" w:hAnsi="Times New Roman"/>
                <w:sz w:val="24"/>
                <w:szCs w:val="24"/>
                <w:lang w:eastAsia="bg-BG"/>
              </w:rPr>
              <w:t xml:space="preserve">По процедурата са допустими разходи по правилата на ЕФРР, съгласно разпоредбите на ПМС № 189/28.07.2016 г. – </w:t>
            </w:r>
            <w:r w:rsidRPr="00CE0058">
              <w:rPr>
                <w:rFonts w:ascii="Times New Roman" w:eastAsia="Times New Roman" w:hAnsi="Times New Roman"/>
                <w:b/>
                <w:sz w:val="24"/>
                <w:szCs w:val="24"/>
                <w:lang w:eastAsia="bg-BG"/>
              </w:rPr>
              <w:t>до 10 % от допустимите преки разходи.</w:t>
            </w:r>
          </w:p>
          <w:p w14:paraId="54E22F4C" w14:textId="77777777" w:rsidR="00FB17AE" w:rsidRPr="00AE35FA"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043D67AE"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По схемата се финансират само разходи за извършване на СМР, </w:t>
            </w:r>
            <w:r w:rsidRPr="00CE0058">
              <w:rPr>
                <w:rFonts w:ascii="Times New Roman" w:eastAsia="Times New Roman" w:hAnsi="Times New Roman"/>
                <w:b/>
                <w:sz w:val="24"/>
                <w:szCs w:val="24"/>
                <w:lang w:eastAsia="bg-BG"/>
              </w:rPr>
              <w:t>не са допустими</w:t>
            </w:r>
            <w:r w:rsidRPr="00FB17AE">
              <w:rPr>
                <w:rFonts w:ascii="Times New Roman" w:eastAsia="Times New Roman" w:hAnsi="Times New Roman"/>
                <w:sz w:val="24"/>
                <w:szCs w:val="24"/>
                <w:lang w:eastAsia="bg-BG"/>
              </w:rPr>
              <w:t xml:space="preserve"> разходи </w:t>
            </w:r>
            <w:r w:rsidRPr="006F7DD9">
              <w:rPr>
                <w:rFonts w:ascii="Times New Roman" w:eastAsia="Times New Roman" w:hAnsi="Times New Roman"/>
                <w:sz w:val="24"/>
                <w:szCs w:val="24"/>
                <w:lang w:eastAsia="bg-BG"/>
              </w:rPr>
              <w:t>за проектиране, авторски контрол, инвеститорски контрол, независим строителен надзор (супервизия), както и такси за издаване на разрешение за строеж и/или разрешение за ползване, въвеждане в експлоатация и др.</w:t>
            </w:r>
          </w:p>
          <w:p w14:paraId="42BF355C"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По правилата на ЕФРР са допустими следните видове разходи:</w:t>
            </w:r>
          </w:p>
          <w:p w14:paraId="5CBC177C" w14:textId="77777777" w:rsidR="0062712A" w:rsidRDefault="0062712A" w:rsidP="00AE35FA">
            <w:pPr>
              <w:pStyle w:val="ListParagraph1"/>
              <w:spacing w:after="360" w:line="240" w:lineRule="auto"/>
              <w:ind w:left="0"/>
              <w:jc w:val="both"/>
              <w:rPr>
                <w:rFonts w:ascii="Times New Roman" w:eastAsia="Times New Roman" w:hAnsi="Times New Roman"/>
                <w:b/>
                <w:sz w:val="24"/>
                <w:szCs w:val="24"/>
                <w:lang w:eastAsia="bg-BG"/>
              </w:rPr>
            </w:pPr>
          </w:p>
          <w:p w14:paraId="3C6ED846" w14:textId="7FF45DB6"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7. Разходи за СМР</w:t>
            </w:r>
          </w:p>
          <w:p w14:paraId="036BC4B5"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E35FA">
              <w:rPr>
                <w:rFonts w:ascii="Times New Roman" w:eastAsia="Times New Roman" w:hAnsi="Times New Roman"/>
                <w:sz w:val="24"/>
                <w:szCs w:val="24"/>
                <w:lang w:eastAsia="bg-BG"/>
              </w:rPr>
              <w:t xml:space="preserve">7.1. Разходи за СМР за модернизация и/или реконструкция и/ или обезопасяване на съществуващи обекти, технологични процеси, машини и съоръжения, свързани с подобряване условията на труд при изпълнението на Дейност 3.1. и ремонт на помещенията, свързан с изпълнението на Дейност 4. </w:t>
            </w:r>
            <w:r w:rsidRPr="00CE0058">
              <w:rPr>
                <w:rFonts w:ascii="Times New Roman" w:eastAsia="Times New Roman" w:hAnsi="Times New Roman"/>
                <w:b/>
                <w:sz w:val="24"/>
                <w:szCs w:val="24"/>
                <w:lang w:eastAsia="bg-BG"/>
              </w:rPr>
              <w:t>Общо за Дейности 3.1 и 4 – до 10 % от допустимите преки разходи по проекта.</w:t>
            </w:r>
          </w:p>
          <w:p w14:paraId="58660DF9" w14:textId="77777777" w:rsidR="006F7DD9" w:rsidRDefault="006F7DD9" w:rsidP="00CE0058">
            <w:pPr>
              <w:pStyle w:val="ListParagraph1"/>
              <w:spacing w:after="360" w:line="240" w:lineRule="auto"/>
              <w:ind w:left="0"/>
              <w:jc w:val="both"/>
              <w:rPr>
                <w:rFonts w:ascii="Times New Roman" w:eastAsia="Times New Roman" w:hAnsi="Times New Roman"/>
                <w:sz w:val="24"/>
                <w:szCs w:val="24"/>
                <w:lang w:eastAsia="bg-BG"/>
              </w:rPr>
            </w:pPr>
          </w:p>
          <w:p w14:paraId="5E32E877" w14:textId="77777777" w:rsidR="00AE35FA" w:rsidRPr="00AE35FA" w:rsidRDefault="00AE35FA" w:rsidP="00CE0058">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Разходите са допустими единствено, в случай че са надлежно обосновани и описани в дейностите по проекта.</w:t>
            </w:r>
          </w:p>
          <w:p w14:paraId="620D035B" w14:textId="77777777" w:rsidR="006F7DD9" w:rsidRDefault="006F7DD9" w:rsidP="00AE35FA">
            <w:pPr>
              <w:pStyle w:val="ListParagraph1"/>
              <w:spacing w:after="360" w:line="240" w:lineRule="auto"/>
              <w:ind w:left="0"/>
              <w:jc w:val="both"/>
              <w:rPr>
                <w:rFonts w:ascii="Times New Roman" w:eastAsia="Times New Roman" w:hAnsi="Times New Roman"/>
                <w:sz w:val="24"/>
                <w:szCs w:val="24"/>
                <w:lang w:eastAsia="bg-BG"/>
              </w:rPr>
            </w:pPr>
          </w:p>
          <w:p w14:paraId="2846AA01" w14:textId="77777777"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VI. ЕДИННА СТАВКА - ТЕЗИ РАЗХОДИ ЩЕ БЪДАТ СЛУЖЕБНО ОТРАЗЕНИ ОТ СТРАНА НА ОЦЕНИТЕЛНАТА КОМИСИЯ И СА В РАЗМЕР ТОЧНО НА 10 % ОТ ПРЕКИТЕ ДОПУСТИМИ РАЗХОДИ ПО ПРОЕКТА.</w:t>
            </w:r>
          </w:p>
          <w:p w14:paraId="39F4AA13" w14:textId="77777777" w:rsidR="006F7DD9" w:rsidRPr="00CE0058" w:rsidRDefault="006F7DD9" w:rsidP="00AE35FA">
            <w:pPr>
              <w:pStyle w:val="ListParagraph1"/>
              <w:spacing w:after="360" w:line="240" w:lineRule="auto"/>
              <w:ind w:left="0"/>
              <w:jc w:val="both"/>
              <w:rPr>
                <w:rFonts w:ascii="Times New Roman" w:eastAsia="Times New Roman" w:hAnsi="Times New Roman"/>
                <w:b/>
                <w:sz w:val="24"/>
                <w:szCs w:val="24"/>
                <w:lang w:eastAsia="bg-BG"/>
              </w:rPr>
            </w:pPr>
          </w:p>
          <w:p w14:paraId="7A2D8034" w14:textId="77777777" w:rsidR="00AE35FA" w:rsidRPr="00CE0058" w:rsidRDefault="00A2524B"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lastRenderedPageBreak/>
              <w:t xml:space="preserve">    </w:t>
            </w:r>
            <w:r w:rsidR="00AE35FA" w:rsidRPr="00CE0058">
              <w:rPr>
                <w:rFonts w:ascii="Times New Roman" w:eastAsia="Times New Roman" w:hAnsi="Times New Roman"/>
                <w:b/>
                <w:sz w:val="24"/>
                <w:szCs w:val="24"/>
                <w:lang w:eastAsia="bg-BG"/>
              </w:rPr>
              <w:t>8. Непреки разходи</w:t>
            </w:r>
          </w:p>
          <w:p w14:paraId="3E9C3AE9" w14:textId="77777777" w:rsidR="00AE35FA" w:rsidRPr="00AE35FA" w:rsidRDefault="00A2524B" w:rsidP="00AE35FA">
            <w:pPr>
              <w:pStyle w:val="ListParagraph1"/>
              <w:spacing w:after="360" w:line="240"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AE35FA" w:rsidRPr="00AE35FA">
              <w:rPr>
                <w:rFonts w:ascii="Times New Roman" w:eastAsia="Times New Roman" w:hAnsi="Times New Roman"/>
                <w:sz w:val="24"/>
                <w:szCs w:val="24"/>
                <w:lang w:eastAsia="bg-BG"/>
              </w:rPr>
              <w:t xml:space="preserve">8.1. Непреки разходи в размер на 10 на сто от допустимите преки разходи по проекта. </w:t>
            </w:r>
          </w:p>
          <w:p w14:paraId="0A8CC567"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Непреките разходи се финансират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г. </w:t>
            </w:r>
          </w:p>
          <w:p w14:paraId="557DC234" w14:textId="77777777" w:rsidR="006F7DD9" w:rsidRDefault="006F7DD9" w:rsidP="00AE35FA">
            <w:pPr>
              <w:pStyle w:val="ListParagraph1"/>
              <w:spacing w:after="360" w:line="240" w:lineRule="auto"/>
              <w:ind w:left="0"/>
              <w:jc w:val="both"/>
              <w:rPr>
                <w:rFonts w:ascii="Times New Roman" w:eastAsia="Times New Roman" w:hAnsi="Times New Roman"/>
                <w:sz w:val="24"/>
                <w:szCs w:val="24"/>
                <w:lang w:eastAsia="bg-BG"/>
              </w:rPr>
            </w:pPr>
          </w:p>
          <w:p w14:paraId="54903129" w14:textId="0CBF01AF"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На етап кандидатстване всеки кандидат следва да планира само преките си разходи (безвъзмездна финансова помощ и съфинансиране - ако е приложимо), които не могат да </w:t>
            </w:r>
            <w:r w:rsidRPr="00AE35FA">
              <w:rPr>
                <w:rFonts w:ascii="Times New Roman" w:eastAsia="Times New Roman" w:hAnsi="Times New Roman"/>
                <w:b/>
                <w:sz w:val="24"/>
                <w:szCs w:val="24"/>
                <w:lang w:eastAsia="bg-BG"/>
              </w:rPr>
              <w:t xml:space="preserve">бъдат по-малко от </w:t>
            </w:r>
            <w:r>
              <w:rPr>
                <w:rFonts w:ascii="Times New Roman" w:eastAsia="Times New Roman" w:hAnsi="Times New Roman"/>
                <w:b/>
                <w:sz w:val="24"/>
                <w:szCs w:val="24"/>
                <w:lang w:eastAsia="bg-BG"/>
              </w:rPr>
              <w:t>36</w:t>
            </w:r>
            <w:r w:rsidR="006F7DD9">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363,64</w:t>
            </w:r>
            <w:r w:rsidRPr="00AE35FA">
              <w:rPr>
                <w:rFonts w:ascii="Times New Roman" w:eastAsia="Times New Roman" w:hAnsi="Times New Roman"/>
                <w:b/>
                <w:sz w:val="24"/>
                <w:szCs w:val="24"/>
                <w:lang w:eastAsia="bg-BG"/>
              </w:rPr>
              <w:t xml:space="preserve"> лв. (БФП) и повече от </w:t>
            </w:r>
            <w:r w:rsidR="006F7DD9" w:rsidRPr="006F7DD9">
              <w:rPr>
                <w:rFonts w:ascii="Times New Roman" w:eastAsia="Times New Roman" w:hAnsi="Times New Roman"/>
                <w:b/>
                <w:sz w:val="24"/>
                <w:szCs w:val="24"/>
                <w:lang w:eastAsia="bg-BG"/>
              </w:rPr>
              <w:t xml:space="preserve">72 055,87 </w:t>
            </w:r>
            <w:r w:rsidRPr="00AE35FA">
              <w:rPr>
                <w:rFonts w:ascii="Times New Roman" w:eastAsia="Times New Roman" w:hAnsi="Times New Roman"/>
                <w:b/>
                <w:sz w:val="24"/>
                <w:szCs w:val="24"/>
                <w:lang w:eastAsia="bg-BG"/>
              </w:rPr>
              <w:t>лв. (БФП).</w:t>
            </w:r>
            <w:r w:rsidRPr="00AE35FA">
              <w:rPr>
                <w:rFonts w:ascii="Times New Roman" w:eastAsia="Times New Roman" w:hAnsi="Times New Roman"/>
                <w:sz w:val="24"/>
                <w:szCs w:val="24"/>
                <w:lang w:eastAsia="bg-BG"/>
              </w:rPr>
              <w:t xml:space="preserve"> </w:t>
            </w:r>
          </w:p>
          <w:p w14:paraId="3ABADDCB"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Непреките разходи, които са в размер на точно 10 % от преките допустими разходи ще бъдат служебно отразени от страна на оценителната комисия в бюджета на всяко едно проектно предложение. </w:t>
            </w:r>
          </w:p>
          <w:p w14:paraId="2DDB7DCD" w14:textId="77777777" w:rsidR="006F7DD9" w:rsidRDefault="006F7DD9" w:rsidP="00AE35FA">
            <w:pPr>
              <w:pStyle w:val="ListParagraph1"/>
              <w:spacing w:after="360" w:line="240" w:lineRule="auto"/>
              <w:ind w:left="0"/>
              <w:jc w:val="both"/>
              <w:rPr>
                <w:rFonts w:ascii="Times New Roman" w:eastAsia="Times New Roman" w:hAnsi="Times New Roman"/>
                <w:sz w:val="24"/>
                <w:szCs w:val="24"/>
                <w:lang w:eastAsia="bg-BG"/>
              </w:rPr>
            </w:pPr>
          </w:p>
          <w:p w14:paraId="5875FF22" w14:textId="16B04063"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E35FA">
              <w:rPr>
                <w:rFonts w:ascii="Times New Roman" w:eastAsia="Times New Roman" w:hAnsi="Times New Roman"/>
                <w:sz w:val="24"/>
                <w:szCs w:val="24"/>
                <w:lang w:eastAsia="bg-BG"/>
              </w:rPr>
              <w:t xml:space="preserve">В случай че кандидатите </w:t>
            </w:r>
            <w:r w:rsidRPr="00CE0058">
              <w:rPr>
                <w:rFonts w:ascii="Times New Roman" w:eastAsia="Times New Roman" w:hAnsi="Times New Roman"/>
                <w:b/>
                <w:sz w:val="24"/>
                <w:szCs w:val="24"/>
                <w:lang w:eastAsia="bg-BG"/>
              </w:rPr>
              <w:t>не желаят</w:t>
            </w:r>
            <w:r w:rsidRPr="00AE35FA">
              <w:rPr>
                <w:rFonts w:ascii="Times New Roman" w:eastAsia="Times New Roman" w:hAnsi="Times New Roman"/>
                <w:sz w:val="24"/>
                <w:szCs w:val="24"/>
                <w:lang w:eastAsia="bg-BG"/>
              </w:rPr>
              <w:t xml:space="preserve"> да им бъдат служебно начислени непреки разходи в размер на 10 % от преките допустими разходи, то същото следва да бъде декларирано в т. 11.5 от Формуляра за кандидатстване</w:t>
            </w:r>
            <w:r w:rsidRPr="00AE35FA">
              <w:rPr>
                <w:rFonts w:ascii="Times New Roman" w:eastAsia="Times New Roman" w:hAnsi="Times New Roman"/>
                <w:b/>
                <w:sz w:val="24"/>
                <w:szCs w:val="24"/>
                <w:lang w:eastAsia="bg-BG"/>
              </w:rPr>
              <w:t xml:space="preserve">. В този случай, кандидатите могат да планират преките си разходи в минимален размер от </w:t>
            </w:r>
            <w:r>
              <w:rPr>
                <w:rFonts w:ascii="Times New Roman" w:eastAsia="Times New Roman" w:hAnsi="Times New Roman"/>
                <w:b/>
                <w:sz w:val="24"/>
                <w:szCs w:val="24"/>
                <w:lang w:eastAsia="bg-BG"/>
              </w:rPr>
              <w:t>4</w:t>
            </w:r>
            <w:r w:rsidRPr="00AE35FA">
              <w:rPr>
                <w:rFonts w:ascii="Times New Roman" w:eastAsia="Times New Roman" w:hAnsi="Times New Roman"/>
                <w:b/>
                <w:sz w:val="24"/>
                <w:szCs w:val="24"/>
                <w:lang w:eastAsia="bg-BG"/>
              </w:rPr>
              <w:t xml:space="preserve">0 000,00 лв. и максимален размер на безвъзмездната финансова помощ в размер на </w:t>
            </w:r>
            <w:r w:rsidR="006F7DD9" w:rsidRPr="006F7DD9">
              <w:rPr>
                <w:rFonts w:ascii="Times New Roman" w:eastAsia="Times New Roman" w:hAnsi="Times New Roman"/>
                <w:b/>
                <w:sz w:val="24"/>
                <w:szCs w:val="24"/>
                <w:lang w:eastAsia="bg-BG"/>
              </w:rPr>
              <w:t xml:space="preserve">79 261,46 </w:t>
            </w:r>
            <w:r w:rsidRPr="00AE35FA">
              <w:rPr>
                <w:rFonts w:ascii="Times New Roman" w:eastAsia="Times New Roman" w:hAnsi="Times New Roman"/>
                <w:b/>
                <w:sz w:val="24"/>
                <w:szCs w:val="24"/>
                <w:lang w:eastAsia="bg-BG"/>
              </w:rPr>
              <w:t xml:space="preserve"> лв. </w:t>
            </w:r>
          </w:p>
          <w:p w14:paraId="41C99724" w14:textId="77777777" w:rsidR="006F7DD9" w:rsidRPr="00AE35FA" w:rsidRDefault="006F7DD9" w:rsidP="00AE35FA">
            <w:pPr>
              <w:pStyle w:val="ListParagraph1"/>
              <w:spacing w:after="360" w:line="240" w:lineRule="auto"/>
              <w:ind w:left="0"/>
              <w:jc w:val="both"/>
              <w:rPr>
                <w:rFonts w:ascii="Times New Roman" w:eastAsia="Times New Roman" w:hAnsi="Times New Roman"/>
                <w:b/>
                <w:sz w:val="24"/>
                <w:szCs w:val="24"/>
                <w:lang w:eastAsia="bg-BG"/>
              </w:rPr>
            </w:pPr>
          </w:p>
          <w:p w14:paraId="6DB8071C"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При неспазване на минимално допустимия размер на безвъзмездната финансова помощ, то на етап административно съответствие и допустимост проектното предложение ще бъде отхвърлено.</w:t>
            </w:r>
          </w:p>
          <w:p w14:paraId="47F59E81"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При неспазване на максимално допустимия размер на безвъзмездната финансова помощ, то на етап техническа и финансова оценка, бюджетът на проектното предложение в частта преки разходи ще бъде редуциран. </w:t>
            </w:r>
          </w:p>
          <w:p w14:paraId="34CE92E8"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73E6922A" w14:textId="77777777"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E35FA">
              <w:rPr>
                <w:rFonts w:ascii="Times New Roman" w:eastAsia="Times New Roman" w:hAnsi="Times New Roman"/>
                <w:sz w:val="24"/>
                <w:szCs w:val="24"/>
                <w:lang w:eastAsia="bg-BG"/>
              </w:rPr>
              <w:t xml:space="preserve"> </w:t>
            </w:r>
            <w:r w:rsidRPr="00CE0058">
              <w:rPr>
                <w:rFonts w:ascii="Times New Roman" w:eastAsia="Times New Roman" w:hAnsi="Times New Roman"/>
                <w:b/>
                <w:sz w:val="24"/>
                <w:szCs w:val="24"/>
                <w:lang w:eastAsia="bg-BG"/>
              </w:rPr>
              <w:t xml:space="preserve">„Непреки разходи“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административните разходи, свързани с управлението на проекта (режийни разходи, консумативи и материали, наем, разходи за командировки)  и разходи за информация и комуникация, посочени за допустими в документите по чл. 26, ал. 1 от ЗУСЕСИФ. </w:t>
            </w:r>
          </w:p>
          <w:p w14:paraId="6F8244D3" w14:textId="77777777" w:rsidR="006F7DD9" w:rsidRPr="00CE0058" w:rsidRDefault="006F7DD9" w:rsidP="00AE35FA">
            <w:pPr>
              <w:pStyle w:val="ListParagraph1"/>
              <w:spacing w:after="360" w:line="240" w:lineRule="auto"/>
              <w:ind w:left="0"/>
              <w:jc w:val="both"/>
              <w:rPr>
                <w:rFonts w:ascii="Times New Roman" w:eastAsia="Times New Roman" w:hAnsi="Times New Roman"/>
                <w:b/>
                <w:sz w:val="24"/>
                <w:szCs w:val="24"/>
                <w:lang w:eastAsia="bg-BG"/>
              </w:rPr>
            </w:pPr>
          </w:p>
          <w:p w14:paraId="73973E52"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ВАРИАНТ 2 -  Приложимо само за проектни предложения, които не се осъществяват изключително чрез възлагане на обществени поръчки за стоки, услуги и строителни дейности. В случай че е приложим този вариант на отчитане на разходите, се попълва само бюджетен ред 9./9.1, като се посочва единствено общата стойност на допустимите разходи по проекта (БФП), посочена в приложение VII - от документите за попълване.</w:t>
            </w:r>
          </w:p>
          <w:p w14:paraId="0C3ED0BF"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60DAD3BA" w14:textId="77777777" w:rsidR="00AE35FA" w:rsidRPr="00A2524B"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2524B">
              <w:rPr>
                <w:rFonts w:ascii="Times New Roman" w:eastAsia="Times New Roman" w:hAnsi="Times New Roman"/>
                <w:b/>
                <w:sz w:val="24"/>
                <w:szCs w:val="24"/>
                <w:lang w:eastAsia="bg-BG"/>
              </w:rPr>
              <w:t>VII. ЕДНОКРАТНИ СУМИ</w:t>
            </w:r>
          </w:p>
          <w:p w14:paraId="45F96415" w14:textId="77777777" w:rsidR="00AE35FA" w:rsidRPr="00A2524B"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2524B">
              <w:rPr>
                <w:rFonts w:ascii="Times New Roman" w:eastAsia="Times New Roman" w:hAnsi="Times New Roman"/>
                <w:b/>
                <w:sz w:val="24"/>
                <w:szCs w:val="24"/>
                <w:lang w:eastAsia="bg-BG"/>
              </w:rPr>
              <w:t>9. ПРОЕКТОБЮДЖЕТ</w:t>
            </w:r>
          </w:p>
          <w:p w14:paraId="0B81477C"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9.1. ПРОЕКТОБЮДЖЕТ  - посочва се общата стойност на допустимите разходи, изчислени на база проектобюджет (Приложение VII). </w:t>
            </w:r>
          </w:p>
          <w:p w14:paraId="79A008F4"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Разходите по отделните бюджетни редове ще бъдат служебно отразени след одобряване </w:t>
            </w:r>
            <w:r w:rsidRPr="00AE35FA">
              <w:rPr>
                <w:rFonts w:ascii="Times New Roman" w:eastAsia="Times New Roman" w:hAnsi="Times New Roman"/>
                <w:sz w:val="24"/>
                <w:szCs w:val="24"/>
                <w:lang w:eastAsia="bg-BG"/>
              </w:rPr>
              <w:lastRenderedPageBreak/>
              <w:t>на проектобюджета от оценителната комисия.</w:t>
            </w:r>
          </w:p>
          <w:p w14:paraId="0B847F97"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751F7C93"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Всеки ред в проектобюджета трябва да е обвързан с конкретни резултати/краен продукт, които да са измерими, доказуеми и съответстващи на заложените дейности.</w:t>
            </w:r>
          </w:p>
          <w:p w14:paraId="53FB007F"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Непреките разходи, които са в размер на точно 10 % от преките допустими разходи се добавят към одобрения проектобюджет в отделен бюджетен ред.</w:t>
            </w:r>
          </w:p>
          <w:p w14:paraId="72F1E673" w14:textId="77777777" w:rsidR="003E08A5" w:rsidRPr="00AE35FA" w:rsidRDefault="003E08A5" w:rsidP="00AE35FA">
            <w:pPr>
              <w:pStyle w:val="ListParagraph1"/>
              <w:spacing w:after="360" w:line="240" w:lineRule="auto"/>
              <w:ind w:left="0"/>
              <w:jc w:val="both"/>
              <w:rPr>
                <w:rFonts w:ascii="Times New Roman" w:eastAsia="Times New Roman" w:hAnsi="Times New Roman"/>
                <w:sz w:val="24"/>
                <w:szCs w:val="24"/>
                <w:lang w:eastAsia="bg-BG"/>
              </w:rPr>
            </w:pPr>
          </w:p>
        </w:tc>
      </w:tr>
    </w:tbl>
    <w:p w14:paraId="6767E4E2" w14:textId="77777777" w:rsidR="00645264" w:rsidRPr="007713C1" w:rsidRDefault="00645264" w:rsidP="007570DC">
      <w:pPr>
        <w:pStyle w:val="Heading2"/>
      </w:pPr>
      <w:bookmarkStart w:id="33" w:name="_Toc445385595"/>
      <w:r w:rsidRPr="007713C1">
        <w:lastRenderedPageBreak/>
        <w:t>14.4. Недопустими разходи</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45264" w:rsidRPr="008F724D" w14:paraId="0E8B0B35" w14:textId="77777777">
        <w:tc>
          <w:tcPr>
            <w:tcW w:w="9496" w:type="dxa"/>
          </w:tcPr>
          <w:p w14:paraId="17C4AEEF"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6F77D1D3"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глоби, финансови санкции и разходи за разрешаване на спорове; </w:t>
            </w:r>
          </w:p>
          <w:p w14:paraId="62B98509"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комисионите и загубите от курсови разлики при обмяна на чужда валута, с изключение на случаите на предоставянето на финансова подкрепа чрез финансови инструменти;</w:t>
            </w:r>
          </w:p>
          <w:p w14:paraId="02318E01"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възстановим данък върху добавената стойност;</w:t>
            </w:r>
          </w:p>
          <w:p w14:paraId="422166C6"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закупуване на дълготрайни материални активи - втора употреба;</w:t>
            </w:r>
          </w:p>
          <w:p w14:paraId="16708C6E"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разходите за гаранции, осигурени от банка или от друга финансова институция, с изключение на разходите по финансови инструменти. </w:t>
            </w:r>
          </w:p>
          <w:p w14:paraId="76C821EA"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76C9F28F"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субсидиране на лихва по одобрени схеми за държавни помощи и разноските за финансови транзакции;</w:t>
            </w:r>
          </w:p>
          <w:p w14:paraId="3C6B4F29"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закупуване на инфраструктура, земя и недвижимо имущество;</w:t>
            </w:r>
          </w:p>
          <w:p w14:paraId="7BC8B16E"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консултантски услуги, свързани с подготовката и/или попълването на документите за кандидатстване за финансова подкрепа;</w:t>
            </w:r>
          </w:p>
          <w:p w14:paraId="5D4BCB7C"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закупуване на транспортни средства;</w:t>
            </w:r>
          </w:p>
          <w:p w14:paraId="3FCA3E12"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наем на транспортни средства, освен случаите на възлагане на превоза на лицензиран превозвач, спазвайки разпоредбите на Закона за автомобилните превози / 17.09.1999 г.;</w:t>
            </w:r>
          </w:p>
          <w:p w14:paraId="4CBC1334"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задължително обучение и инструктаж по безопасност и здраве при работа в съответствие със спецификата на индивидуалното работно място и на професията, съгласно чл.26(2) 1“а“ и “б“ от ЗЗБУТ и Наредба № РД – 07-2 от 16.12.2009 г.;</w:t>
            </w:r>
          </w:p>
          <w:p w14:paraId="6639837C"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работни облекла, съгласно Наредбата за безплатно работно и униформено облекло, приета с ПМС № 10 от 20.01.2011 г., обн. ДВ.Бр.9 от 28 януари 2011 г.;</w:t>
            </w:r>
          </w:p>
          <w:p w14:paraId="477624D5"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закупуване на превозно средство при изпълнението на дейност 2;</w:t>
            </w:r>
          </w:p>
          <w:p w14:paraId="1A6FD1BA"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 разходи за закупуването на машини и съоръжения, свързани с модернизация на </w:t>
            </w:r>
            <w:r w:rsidRPr="00A2524B">
              <w:rPr>
                <w:rFonts w:ascii="Times New Roman" w:eastAsia="Times New Roman" w:hAnsi="Times New Roman"/>
                <w:sz w:val="24"/>
                <w:szCs w:val="24"/>
                <w:lang w:eastAsia="bg-BG"/>
              </w:rPr>
              <w:lastRenderedPageBreak/>
              <w:t>производствената/основната дейност на предприятието;</w:t>
            </w:r>
          </w:p>
          <w:p w14:paraId="4ECD97F3"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проектиране, авторски контрол, инвеститорски контрол, независим строителен надзор(супервизия), както и такси за издаване на разрешение за строеж и/или разрешение за ползване, въвеждане в експлоатация и др.;</w:t>
            </w:r>
          </w:p>
          <w:p w14:paraId="404B14C7"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анализи, проучвания и изследвания.</w:t>
            </w:r>
          </w:p>
          <w:p w14:paraId="1B68E56B" w14:textId="77777777" w:rsidR="001D57FE" w:rsidRPr="00D1739B" w:rsidRDefault="001D57FE" w:rsidP="00022897">
            <w:pPr>
              <w:tabs>
                <w:tab w:val="left" w:pos="0"/>
              </w:tabs>
              <w:spacing w:after="0"/>
              <w:ind w:left="714"/>
              <w:jc w:val="both"/>
              <w:rPr>
                <w:rFonts w:ascii="Times New Roman" w:eastAsia="Times New Roman" w:hAnsi="Times New Roman"/>
                <w:sz w:val="20"/>
                <w:szCs w:val="20"/>
                <w:lang w:eastAsia="bg-BG"/>
              </w:rPr>
            </w:pPr>
          </w:p>
          <w:p w14:paraId="22360C85" w14:textId="77777777" w:rsidR="00614131" w:rsidRPr="008F724D" w:rsidRDefault="00614131" w:rsidP="008F724D">
            <w:pPr>
              <w:tabs>
                <w:tab w:val="left" w:pos="180"/>
              </w:tabs>
              <w:spacing w:after="0" w:line="240" w:lineRule="auto"/>
              <w:jc w:val="both"/>
              <w:rPr>
                <w:rFonts w:ascii="Times New Roman" w:hAnsi="Times New Roman"/>
                <w:b/>
                <w:color w:val="000000"/>
                <w:sz w:val="24"/>
                <w:szCs w:val="24"/>
              </w:rPr>
            </w:pPr>
            <w:r w:rsidRPr="008F724D">
              <w:rPr>
                <w:rFonts w:ascii="Times New Roman" w:eastAsia="Times New Roman" w:hAnsi="Times New Roman"/>
                <w:b/>
                <w:color w:val="000000"/>
                <w:sz w:val="24"/>
                <w:szCs w:val="24"/>
                <w:lang w:eastAsia="bg-BG"/>
              </w:rPr>
              <w:t>На основание чл. 57, ал. 2 от ЗУСЕСИФ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0739AF46" w14:textId="77777777" w:rsidR="00CB14EE" w:rsidRPr="007713C1" w:rsidRDefault="001D09EC" w:rsidP="007570DC">
      <w:pPr>
        <w:pStyle w:val="Heading1"/>
      </w:pPr>
      <w:bookmarkStart w:id="34" w:name="_Toc445385596"/>
      <w:r w:rsidRPr="007713C1">
        <w:lastRenderedPageBreak/>
        <w:t>15. Допустими целеви групи (ако е приложимо):</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D09EC" w:rsidRPr="008F724D" w14:paraId="154C0DF9" w14:textId="77777777">
        <w:trPr>
          <w:trHeight w:val="2826"/>
        </w:trPr>
        <w:tc>
          <w:tcPr>
            <w:tcW w:w="9496" w:type="dxa"/>
          </w:tcPr>
          <w:p w14:paraId="4B05BAB0" w14:textId="77777777" w:rsidR="00050F2D" w:rsidRDefault="00050F2D" w:rsidP="00050F2D">
            <w:pPr>
              <w:spacing w:after="0" w:line="276" w:lineRule="auto"/>
              <w:jc w:val="both"/>
              <w:rPr>
                <w:rFonts w:ascii="Times New Roman" w:eastAsia="Times New Roman" w:hAnsi="Times New Roman"/>
                <w:sz w:val="24"/>
                <w:szCs w:val="24"/>
                <w:shd w:val="clear" w:color="auto" w:fill="FEFEFE"/>
                <w:lang w:eastAsia="bg-BG"/>
              </w:rPr>
            </w:pPr>
            <w:r w:rsidRPr="00050F2D">
              <w:rPr>
                <w:rFonts w:ascii="Times New Roman" w:eastAsia="Times New Roman" w:hAnsi="Times New Roman"/>
                <w:sz w:val="24"/>
                <w:szCs w:val="24"/>
                <w:shd w:val="clear" w:color="auto" w:fill="FEFEFE"/>
                <w:lang w:eastAsia="bg-BG"/>
              </w:rPr>
              <w:t xml:space="preserve">Допустимата целева група по настоящата </w:t>
            </w:r>
            <w:r w:rsidR="00997A6A">
              <w:rPr>
                <w:rFonts w:ascii="Times New Roman" w:eastAsia="Times New Roman" w:hAnsi="Times New Roman"/>
                <w:sz w:val="24"/>
                <w:szCs w:val="24"/>
                <w:shd w:val="clear" w:color="auto" w:fill="FEFEFE"/>
                <w:lang w:eastAsia="bg-BG"/>
              </w:rPr>
              <w:t>процедура са</w:t>
            </w:r>
            <w:r w:rsidRPr="00050F2D">
              <w:rPr>
                <w:rFonts w:ascii="Times New Roman" w:eastAsia="Times New Roman" w:hAnsi="Times New Roman"/>
                <w:sz w:val="24"/>
                <w:szCs w:val="24"/>
                <w:shd w:val="clear" w:color="auto" w:fill="FEFEFE"/>
                <w:lang w:eastAsia="bg-BG"/>
              </w:rPr>
              <w:t xml:space="preserve"> заети лица</w:t>
            </w:r>
            <w:r w:rsidR="00E54FD9">
              <w:rPr>
                <w:rStyle w:val="FootnoteReference"/>
                <w:rFonts w:ascii="Times New Roman" w:eastAsia="Times New Roman" w:hAnsi="Times New Roman"/>
                <w:sz w:val="24"/>
                <w:szCs w:val="24"/>
                <w:shd w:val="clear" w:color="auto" w:fill="FEFEFE"/>
                <w:lang w:eastAsia="bg-BG"/>
              </w:rPr>
              <w:footnoteReference w:id="8"/>
            </w:r>
            <w:r w:rsidRPr="00050F2D">
              <w:rPr>
                <w:rFonts w:ascii="Times New Roman" w:eastAsia="Times New Roman" w:hAnsi="Times New Roman"/>
                <w:sz w:val="24"/>
                <w:szCs w:val="24"/>
                <w:shd w:val="clear" w:color="auto" w:fill="FEFEFE"/>
                <w:lang w:eastAsia="bg-BG"/>
              </w:rPr>
              <w:t>, в това число наети и самостоятелно заети лица</w:t>
            </w:r>
            <w:r w:rsidR="00E54FD9">
              <w:rPr>
                <w:rStyle w:val="FootnoteReference"/>
                <w:rFonts w:ascii="Times New Roman" w:eastAsia="Times New Roman" w:hAnsi="Times New Roman"/>
                <w:sz w:val="24"/>
                <w:szCs w:val="24"/>
                <w:shd w:val="clear" w:color="auto" w:fill="FEFEFE"/>
                <w:lang w:eastAsia="bg-BG"/>
              </w:rPr>
              <w:footnoteReference w:id="9"/>
            </w:r>
            <w:r w:rsidR="006865F9">
              <w:rPr>
                <w:rFonts w:ascii="Times New Roman" w:eastAsia="Times New Roman" w:hAnsi="Times New Roman"/>
                <w:sz w:val="24"/>
                <w:szCs w:val="24"/>
                <w:shd w:val="clear" w:color="auto" w:fill="FEFEFE"/>
                <w:lang w:eastAsia="bg-BG"/>
              </w:rPr>
              <w:t xml:space="preserve"> </w:t>
            </w:r>
            <w:r w:rsidR="00D1739B" w:rsidRPr="00D1739B">
              <w:rPr>
                <w:rFonts w:ascii="Times New Roman" w:eastAsia="Times New Roman" w:hAnsi="Times New Roman"/>
                <w:sz w:val="24"/>
                <w:szCs w:val="24"/>
                <w:shd w:val="clear" w:color="auto" w:fill="FEFEFE"/>
                <w:lang w:eastAsia="bg-BG"/>
              </w:rPr>
              <w:t xml:space="preserve">в микро, малки, средни </w:t>
            </w:r>
            <w:r w:rsidR="00EC2EFC">
              <w:rPr>
                <w:rFonts w:ascii="Times New Roman" w:eastAsia="Times New Roman" w:hAnsi="Times New Roman"/>
                <w:sz w:val="24"/>
                <w:szCs w:val="24"/>
                <w:shd w:val="clear" w:color="auto" w:fill="FEFEFE"/>
                <w:lang w:eastAsia="bg-BG"/>
              </w:rPr>
              <w:t xml:space="preserve">преработвателни </w:t>
            </w:r>
            <w:r w:rsidR="006865F9" w:rsidRPr="00D1739B">
              <w:rPr>
                <w:rFonts w:ascii="Times New Roman" w:eastAsia="Times New Roman" w:hAnsi="Times New Roman"/>
                <w:sz w:val="24"/>
                <w:szCs w:val="24"/>
                <w:shd w:val="clear" w:color="auto" w:fill="FEFEFE"/>
                <w:lang w:eastAsia="bg-BG"/>
              </w:rPr>
              <w:t>предприятия на територията на МИГ</w:t>
            </w:r>
            <w:r w:rsidR="00997A6A">
              <w:rPr>
                <w:rFonts w:ascii="Times New Roman" w:eastAsia="Times New Roman" w:hAnsi="Times New Roman"/>
                <w:sz w:val="24"/>
                <w:szCs w:val="24"/>
                <w:shd w:val="clear" w:color="auto" w:fill="FEFEFE"/>
                <w:lang w:eastAsia="bg-BG"/>
              </w:rPr>
              <w:t xml:space="preserve"> Лясковец – Стражица“</w:t>
            </w:r>
            <w:r w:rsidRPr="00D1739B">
              <w:rPr>
                <w:rFonts w:ascii="Times New Roman" w:eastAsia="Times New Roman" w:hAnsi="Times New Roman"/>
                <w:sz w:val="24"/>
                <w:szCs w:val="24"/>
                <w:shd w:val="clear" w:color="auto" w:fill="FEFEFE"/>
                <w:lang w:eastAsia="bg-BG"/>
              </w:rPr>
              <w:t>.</w:t>
            </w:r>
          </w:p>
          <w:p w14:paraId="35D7DCDC" w14:textId="77777777" w:rsidR="006F7DD9" w:rsidRPr="006865F9" w:rsidRDefault="006F7DD9" w:rsidP="00050F2D">
            <w:pPr>
              <w:spacing w:after="0" w:line="276" w:lineRule="auto"/>
              <w:jc w:val="both"/>
              <w:rPr>
                <w:rFonts w:ascii="Times New Roman" w:eastAsia="Times New Roman" w:hAnsi="Times New Roman"/>
                <w:color w:val="FF0000"/>
                <w:sz w:val="24"/>
                <w:szCs w:val="24"/>
                <w:shd w:val="clear" w:color="auto" w:fill="FEFEFE"/>
                <w:lang w:eastAsia="bg-BG"/>
              </w:rPr>
            </w:pPr>
          </w:p>
          <w:tbl>
            <w:tblPr>
              <w:tblW w:w="0" w:type="auto"/>
              <w:tblBorders>
                <w:top w:val="nil"/>
                <w:left w:val="nil"/>
                <w:bottom w:val="nil"/>
                <w:right w:val="nil"/>
              </w:tblBorders>
              <w:tblLook w:val="0000" w:firstRow="0" w:lastRow="0" w:firstColumn="0" w:lastColumn="0" w:noHBand="0" w:noVBand="0"/>
            </w:tblPr>
            <w:tblGrid>
              <w:gridCol w:w="9280"/>
            </w:tblGrid>
            <w:tr w:rsidR="003925D7" w:rsidRPr="003925D7" w14:paraId="78FC5032" w14:textId="77777777">
              <w:trPr>
                <w:trHeight w:val="284"/>
              </w:trPr>
              <w:tc>
                <w:tcPr>
                  <w:tcW w:w="0" w:type="auto"/>
                </w:tcPr>
                <w:p w14:paraId="3540C57B"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sidRPr="003925D7">
                    <w:rPr>
                      <w:rFonts w:ascii="Times New Roman" w:hAnsi="Times New Roman"/>
                      <w:color w:val="000000"/>
                      <w:sz w:val="24"/>
                      <w:szCs w:val="24"/>
                      <w:lang w:eastAsia="bg-BG"/>
                    </w:rPr>
                    <w:t xml:space="preserve">Лицата от целевата група, включени в </w:t>
                  </w:r>
                  <w:r w:rsidRPr="003925D7">
                    <w:rPr>
                      <w:rFonts w:ascii="Times New Roman" w:hAnsi="Times New Roman"/>
                      <w:b/>
                      <w:bCs/>
                      <w:color w:val="000000"/>
                      <w:sz w:val="24"/>
                      <w:szCs w:val="24"/>
                      <w:lang w:eastAsia="bg-BG"/>
                    </w:rPr>
                    <w:t>дейност „</w:t>
                  </w:r>
                  <w:r w:rsidRPr="003925D7">
                    <w:rPr>
                      <w:rFonts w:ascii="Times New Roman" w:hAnsi="Times New Roman"/>
                      <w:sz w:val="24"/>
                      <w:szCs w:val="24"/>
                    </w:rPr>
                    <w:t>Осигуряване на организиран транспорт от работодателя до и от работното място за заетите в съответното предприятие лица, за период до 12 месеца</w:t>
                  </w:r>
                  <w:r w:rsidRPr="003925D7">
                    <w:rPr>
                      <w:rFonts w:ascii="Times New Roman" w:hAnsi="Times New Roman"/>
                      <w:b/>
                      <w:bCs/>
                      <w:color w:val="000000"/>
                      <w:sz w:val="24"/>
                      <w:szCs w:val="24"/>
                      <w:lang w:eastAsia="bg-BG"/>
                    </w:rPr>
                    <w:t xml:space="preserve">“ </w:t>
                  </w:r>
                  <w:r w:rsidRPr="003925D7">
                    <w:rPr>
                      <w:rFonts w:ascii="Times New Roman" w:hAnsi="Times New Roman"/>
                      <w:b/>
                      <w:color w:val="000000"/>
                      <w:sz w:val="24"/>
                      <w:szCs w:val="24"/>
                      <w:lang w:eastAsia="bg-BG"/>
                    </w:rPr>
                    <w:t>следва да отговарят на следните условия:</w:t>
                  </w:r>
                  <w:r w:rsidRPr="003925D7">
                    <w:rPr>
                      <w:rFonts w:ascii="Times New Roman" w:hAnsi="Times New Roman"/>
                      <w:color w:val="000000"/>
                      <w:sz w:val="24"/>
                      <w:szCs w:val="24"/>
                      <w:lang w:eastAsia="bg-BG"/>
                    </w:rPr>
                    <w:t xml:space="preserve"> </w:t>
                  </w:r>
                </w:p>
                <w:p w14:paraId="10E4C632"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w:t>
                  </w:r>
                  <w:r w:rsidRPr="003925D7">
                    <w:rPr>
                      <w:rFonts w:ascii="Times New Roman" w:hAnsi="Times New Roman"/>
                      <w:color w:val="000000"/>
                      <w:sz w:val="24"/>
                      <w:szCs w:val="24"/>
                      <w:lang w:eastAsia="bg-BG"/>
                    </w:rPr>
                    <w:t xml:space="preserve"> местонахождението на работното място е извън населеното място, където лицето е регистрирано по настоящ адрес</w:t>
                  </w:r>
                  <w:r>
                    <w:rPr>
                      <w:rStyle w:val="FootnoteReference"/>
                      <w:rFonts w:ascii="Times New Roman" w:hAnsi="Times New Roman"/>
                      <w:color w:val="000000"/>
                      <w:sz w:val="24"/>
                      <w:szCs w:val="24"/>
                      <w:lang w:eastAsia="bg-BG"/>
                    </w:rPr>
                    <w:footnoteReference w:id="10"/>
                  </w: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 xml:space="preserve">, но на не повече от 100 км. в едната посока; </w:t>
                  </w:r>
                </w:p>
                <w:p w14:paraId="33941CB8"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 xml:space="preserve">лицата не са командировани по смисъла на Наредбата за командировките в страната; </w:t>
                  </w:r>
                </w:p>
                <w:p w14:paraId="541E8D4B"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 xml:space="preserve">трудовата им дейност не е обичайно свързана с пътуване; </w:t>
                  </w:r>
                </w:p>
                <w:p w14:paraId="331F56E8"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 xml:space="preserve">не са наети да осъществяват дейности в сферата на селското стопанство, рибарството и аквакултурите; </w:t>
                  </w:r>
                </w:p>
                <w:p w14:paraId="5455C1E5" w14:textId="77777777" w:rsidR="003925D7" w:rsidRPr="00EC67B1" w:rsidRDefault="003925D7" w:rsidP="00EC67B1">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не са заети на служебно, трудово или приравнено на него правоотношение в държавната администрация, администрацията на органите за местно самоуправление, системите на народната просвета, Министерство на вътрешните работи и Министерство на отбраната и предприятия, ползващи преференции за организиран транспорт по чл. 57а от Закон</w:t>
                  </w:r>
                  <w:r w:rsidR="00EC67B1">
                    <w:rPr>
                      <w:rFonts w:ascii="Times New Roman" w:hAnsi="Times New Roman"/>
                      <w:color w:val="000000"/>
                      <w:sz w:val="24"/>
                      <w:szCs w:val="24"/>
                      <w:lang w:eastAsia="bg-BG"/>
                    </w:rPr>
                    <w:t xml:space="preserve">а за насърчаване на заетостта. </w:t>
                  </w:r>
                </w:p>
              </w:tc>
            </w:tr>
            <w:tr w:rsidR="00C46C76" w:rsidRPr="00C46C76" w14:paraId="110939E1" w14:textId="77777777">
              <w:trPr>
                <w:trHeight w:val="285"/>
              </w:trPr>
              <w:tc>
                <w:tcPr>
                  <w:tcW w:w="0" w:type="auto"/>
                </w:tcPr>
                <w:p w14:paraId="029D7E7C" w14:textId="77777777" w:rsidR="006F7DD9" w:rsidRDefault="006F7DD9" w:rsidP="00C46C76">
                  <w:pPr>
                    <w:autoSpaceDE w:val="0"/>
                    <w:autoSpaceDN w:val="0"/>
                    <w:adjustRightInd w:val="0"/>
                    <w:spacing w:after="0" w:line="240" w:lineRule="auto"/>
                    <w:rPr>
                      <w:rFonts w:ascii="Times New Roman" w:hAnsi="Times New Roman"/>
                      <w:b/>
                      <w:bCs/>
                      <w:i/>
                      <w:iCs/>
                      <w:color w:val="000000"/>
                      <w:sz w:val="24"/>
                      <w:szCs w:val="24"/>
                      <w:lang w:eastAsia="bg-BG"/>
                    </w:rPr>
                  </w:pPr>
                </w:p>
                <w:p w14:paraId="6F0A194F" w14:textId="77777777" w:rsidR="00C46C76" w:rsidRPr="00C46C76" w:rsidRDefault="00C46C76" w:rsidP="00C46C76">
                  <w:pPr>
                    <w:autoSpaceDE w:val="0"/>
                    <w:autoSpaceDN w:val="0"/>
                    <w:adjustRightInd w:val="0"/>
                    <w:spacing w:after="0" w:line="240" w:lineRule="auto"/>
                    <w:rPr>
                      <w:rFonts w:ascii="Times New Roman" w:hAnsi="Times New Roman"/>
                      <w:color w:val="000000"/>
                      <w:sz w:val="24"/>
                      <w:szCs w:val="24"/>
                      <w:lang w:eastAsia="bg-BG"/>
                    </w:rPr>
                  </w:pPr>
                  <w:r w:rsidRPr="00C46C76">
                    <w:rPr>
                      <w:rFonts w:ascii="Times New Roman" w:hAnsi="Times New Roman"/>
                      <w:b/>
                      <w:bCs/>
                      <w:i/>
                      <w:iCs/>
                      <w:color w:val="000000"/>
                      <w:sz w:val="24"/>
                      <w:szCs w:val="24"/>
                      <w:lang w:eastAsia="bg-BG"/>
                    </w:rPr>
                    <w:t xml:space="preserve">Горепосочените изисквания не важат за шофьорите на транспортните средства. </w:t>
                  </w:r>
                </w:p>
                <w:p w14:paraId="7179E9BA" w14:textId="77777777" w:rsidR="006F7DD9" w:rsidRDefault="006F7DD9" w:rsidP="00C46C76">
                  <w:pPr>
                    <w:autoSpaceDE w:val="0"/>
                    <w:autoSpaceDN w:val="0"/>
                    <w:adjustRightInd w:val="0"/>
                    <w:spacing w:after="0" w:line="240" w:lineRule="auto"/>
                    <w:rPr>
                      <w:rFonts w:ascii="Times New Roman" w:hAnsi="Times New Roman"/>
                      <w:b/>
                      <w:bCs/>
                      <w:i/>
                      <w:iCs/>
                      <w:color w:val="000000"/>
                      <w:sz w:val="24"/>
                      <w:szCs w:val="24"/>
                      <w:lang w:eastAsia="bg-BG"/>
                    </w:rPr>
                  </w:pPr>
                </w:p>
                <w:p w14:paraId="6D08896A" w14:textId="77777777" w:rsidR="00C46C76" w:rsidRDefault="00C46C76" w:rsidP="00C46C76">
                  <w:pPr>
                    <w:autoSpaceDE w:val="0"/>
                    <w:autoSpaceDN w:val="0"/>
                    <w:adjustRightInd w:val="0"/>
                    <w:spacing w:after="0" w:line="240" w:lineRule="auto"/>
                    <w:rPr>
                      <w:rFonts w:ascii="Times New Roman" w:hAnsi="Times New Roman"/>
                      <w:b/>
                      <w:bCs/>
                      <w:i/>
                      <w:iCs/>
                      <w:color w:val="000000"/>
                      <w:sz w:val="24"/>
                      <w:szCs w:val="24"/>
                      <w:lang w:eastAsia="bg-BG"/>
                    </w:rPr>
                  </w:pPr>
                  <w:r w:rsidRPr="00C46C76">
                    <w:rPr>
                      <w:rFonts w:ascii="Times New Roman" w:hAnsi="Times New Roman"/>
                      <w:b/>
                      <w:bCs/>
                      <w:i/>
                      <w:iCs/>
                      <w:color w:val="000000"/>
                      <w:sz w:val="24"/>
                      <w:szCs w:val="24"/>
                      <w:lang w:eastAsia="bg-BG"/>
                    </w:rPr>
                    <w:t xml:space="preserve">Не се допуска дублиране на финансиране на една и съща целева група от различни източници за една и съща дейност. </w:t>
                  </w:r>
                </w:p>
                <w:p w14:paraId="7B8CA9A8" w14:textId="77777777" w:rsidR="006F7DD9" w:rsidRPr="00C46C76" w:rsidRDefault="006F7DD9" w:rsidP="00C46C76">
                  <w:pPr>
                    <w:autoSpaceDE w:val="0"/>
                    <w:autoSpaceDN w:val="0"/>
                    <w:adjustRightInd w:val="0"/>
                    <w:spacing w:after="0" w:line="240" w:lineRule="auto"/>
                    <w:rPr>
                      <w:rFonts w:ascii="Times New Roman" w:hAnsi="Times New Roman"/>
                      <w:color w:val="000000"/>
                      <w:sz w:val="24"/>
                      <w:szCs w:val="24"/>
                      <w:lang w:eastAsia="bg-BG"/>
                    </w:rPr>
                  </w:pPr>
                </w:p>
                <w:p w14:paraId="659FEC3E" w14:textId="13780AEA" w:rsidR="003845AE" w:rsidRDefault="00C46C76" w:rsidP="00B73B3B">
                  <w:pPr>
                    <w:autoSpaceDE w:val="0"/>
                    <w:autoSpaceDN w:val="0"/>
                    <w:adjustRightInd w:val="0"/>
                    <w:spacing w:after="0" w:line="240" w:lineRule="auto"/>
                    <w:jc w:val="both"/>
                    <w:rPr>
                      <w:rFonts w:ascii="Times New Roman" w:hAnsi="Times New Roman"/>
                      <w:color w:val="000000"/>
                      <w:sz w:val="24"/>
                      <w:szCs w:val="24"/>
                      <w:lang w:eastAsia="bg-BG"/>
                    </w:rPr>
                  </w:pPr>
                  <w:r w:rsidRPr="00C46C76">
                    <w:rPr>
                      <w:rFonts w:ascii="Times New Roman" w:hAnsi="Times New Roman"/>
                      <w:color w:val="000000"/>
                      <w:sz w:val="24"/>
                      <w:szCs w:val="24"/>
                      <w:lang w:eastAsia="bg-BG"/>
                    </w:rPr>
                    <w:t xml:space="preserve">В проектното предложение е необходимо кандидатът да посочи общия брой на лицата, заети в предприятието и конкретна/и целева/и група/и, към която/ито ще бъдат насочени дейностите в проектното предложение. Ако в целевата група има </w:t>
                  </w:r>
                  <w:r w:rsidRPr="00C46C76">
                    <w:rPr>
                      <w:rFonts w:ascii="Times New Roman" w:hAnsi="Times New Roman"/>
                      <w:b/>
                      <w:bCs/>
                      <w:color w:val="000000"/>
                      <w:sz w:val="24"/>
                      <w:szCs w:val="24"/>
                      <w:lang w:eastAsia="bg-BG"/>
                    </w:rPr>
                    <w:t xml:space="preserve">лица над 54 </w:t>
                  </w:r>
                  <w:r w:rsidRPr="00C46C76">
                    <w:rPr>
                      <w:rFonts w:ascii="Times New Roman" w:hAnsi="Times New Roman"/>
                      <w:b/>
                      <w:bCs/>
                      <w:color w:val="000000"/>
                      <w:sz w:val="24"/>
                      <w:szCs w:val="24"/>
                      <w:lang w:eastAsia="bg-BG"/>
                    </w:rPr>
                    <w:lastRenderedPageBreak/>
                    <w:t>годишна възраст и/или хора с увреждания</w:t>
                  </w:r>
                  <w:r w:rsidRPr="00C46C76">
                    <w:rPr>
                      <w:rFonts w:ascii="Times New Roman" w:hAnsi="Times New Roman"/>
                      <w:color w:val="000000"/>
                      <w:sz w:val="24"/>
                      <w:szCs w:val="24"/>
                      <w:lang w:eastAsia="bg-BG"/>
                    </w:rPr>
                    <w:t>, кандидатът следва да посочи това в проектното предложение, като посочи броя на включените в проекта лица над 54 годишна възраст и</w:t>
                  </w:r>
                  <w:r w:rsidR="003845AE">
                    <w:rPr>
                      <w:rFonts w:ascii="Times New Roman" w:hAnsi="Times New Roman"/>
                      <w:color w:val="000000"/>
                      <w:sz w:val="24"/>
                      <w:szCs w:val="24"/>
                      <w:lang w:eastAsia="bg-BG"/>
                    </w:rPr>
                    <w:t>/или</w:t>
                  </w:r>
                  <w:r w:rsidRPr="00C46C76">
                    <w:rPr>
                      <w:rFonts w:ascii="Times New Roman" w:hAnsi="Times New Roman"/>
                      <w:color w:val="000000"/>
                      <w:sz w:val="24"/>
                      <w:szCs w:val="24"/>
                      <w:lang w:eastAsia="bg-BG"/>
                    </w:rPr>
                    <w:t xml:space="preserve"> броя на хора</w:t>
                  </w:r>
                  <w:r w:rsidR="003845AE">
                    <w:rPr>
                      <w:rFonts w:ascii="Times New Roman" w:hAnsi="Times New Roman"/>
                      <w:color w:val="000000"/>
                      <w:sz w:val="24"/>
                      <w:szCs w:val="24"/>
                      <w:lang w:eastAsia="bg-BG"/>
                    </w:rPr>
                    <w:t>та</w:t>
                  </w:r>
                  <w:r w:rsidRPr="00C46C76">
                    <w:rPr>
                      <w:rFonts w:ascii="Times New Roman" w:hAnsi="Times New Roman"/>
                      <w:color w:val="000000"/>
                      <w:sz w:val="24"/>
                      <w:szCs w:val="24"/>
                      <w:lang w:eastAsia="bg-BG"/>
                    </w:rPr>
                    <w:t xml:space="preserve"> с увреждания. </w:t>
                  </w:r>
                </w:p>
                <w:p w14:paraId="37035F12" w14:textId="77777777" w:rsidR="003845AE" w:rsidRDefault="003845AE" w:rsidP="00B73B3B">
                  <w:pPr>
                    <w:autoSpaceDE w:val="0"/>
                    <w:autoSpaceDN w:val="0"/>
                    <w:adjustRightInd w:val="0"/>
                    <w:spacing w:after="0" w:line="240" w:lineRule="auto"/>
                    <w:jc w:val="both"/>
                    <w:rPr>
                      <w:rFonts w:ascii="Times New Roman" w:hAnsi="Times New Roman"/>
                      <w:color w:val="000000"/>
                      <w:sz w:val="24"/>
                      <w:szCs w:val="24"/>
                      <w:lang w:eastAsia="bg-BG"/>
                    </w:rPr>
                  </w:pPr>
                </w:p>
                <w:p w14:paraId="5E557F80" w14:textId="577823D4" w:rsidR="00C46C76" w:rsidRPr="00C46C76" w:rsidRDefault="00C46C76" w:rsidP="00B73B3B">
                  <w:pPr>
                    <w:autoSpaceDE w:val="0"/>
                    <w:autoSpaceDN w:val="0"/>
                    <w:adjustRightInd w:val="0"/>
                    <w:spacing w:after="0" w:line="240" w:lineRule="auto"/>
                    <w:jc w:val="both"/>
                    <w:rPr>
                      <w:rFonts w:ascii="Times New Roman" w:hAnsi="Times New Roman"/>
                      <w:color w:val="000000"/>
                      <w:sz w:val="24"/>
                      <w:szCs w:val="24"/>
                      <w:lang w:eastAsia="bg-BG"/>
                    </w:rPr>
                  </w:pPr>
                  <w:r w:rsidRPr="00C46C76">
                    <w:rPr>
                      <w:rFonts w:ascii="Times New Roman" w:hAnsi="Times New Roman"/>
                      <w:color w:val="000000"/>
                      <w:sz w:val="24"/>
                      <w:szCs w:val="24"/>
                      <w:lang w:eastAsia="bg-BG"/>
                    </w:rPr>
                    <w:t>Необходимо е да се направи анализ на нуждите и проблемите на включените лица, както и към решаването на кои от тях е насочен проектът. Целевата група, включена в проектното предложение, трябва да бъде количествено определена – брой лица от отделните групи, включени в проекта и общо колко представители от целевата група ще бъдат включени в проектното предложение.</w:t>
                  </w:r>
                </w:p>
              </w:tc>
            </w:tr>
          </w:tbl>
          <w:p w14:paraId="29FE2131" w14:textId="77777777" w:rsidR="00EC67B1" w:rsidRPr="008F724D" w:rsidRDefault="001D09EC" w:rsidP="00425FAF">
            <w:pPr>
              <w:pStyle w:val="Text1"/>
              <w:spacing w:before="120" w:after="120"/>
              <w:ind w:left="0"/>
              <w:outlineLvl w:val="0"/>
              <w:rPr>
                <w:szCs w:val="24"/>
                <w:lang w:val="bg-BG" w:eastAsia="bg-BG"/>
              </w:rPr>
            </w:pPr>
            <w:bookmarkStart w:id="35" w:name="_Toc445385346"/>
            <w:bookmarkStart w:id="36" w:name="_Toc445385600"/>
            <w:r w:rsidRPr="00C46C76">
              <w:rPr>
                <w:szCs w:val="24"/>
                <w:lang w:val="bg-BG" w:eastAsia="bg-BG"/>
              </w:rPr>
              <w:lastRenderedPageBreak/>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C46C76">
              <w:rPr>
                <w:szCs w:val="24"/>
                <w:lang w:val="bg-BG" w:eastAsia="bg-BG"/>
              </w:rPr>
              <w:t xml:space="preserve">съгласно Условията за кандидатстване и </w:t>
            </w:r>
            <w:r w:rsidRPr="00C46C76">
              <w:rPr>
                <w:szCs w:val="24"/>
                <w:lang w:val="bg-BG" w:eastAsia="bg-BG"/>
              </w:rPr>
              <w:t>количествен</w:t>
            </w:r>
            <w:r w:rsidR="003A71D9" w:rsidRPr="00C46C76">
              <w:rPr>
                <w:szCs w:val="24"/>
                <w:lang w:val="bg-BG" w:eastAsia="bg-BG"/>
              </w:rPr>
              <w:t>о определена</w:t>
            </w:r>
            <w:r w:rsidRPr="00C46C76">
              <w:rPr>
                <w:szCs w:val="24"/>
                <w:lang w:val="bg-BG" w:eastAsia="bg-BG"/>
              </w:rPr>
              <w:t xml:space="preserve"> – колко представители от целевата група ще бъдат включени</w:t>
            </w:r>
            <w:bookmarkEnd w:id="35"/>
            <w:bookmarkEnd w:id="36"/>
            <w:r w:rsidR="006E4498" w:rsidRPr="00C46C76">
              <w:rPr>
                <w:szCs w:val="24"/>
                <w:lang w:val="bg-BG" w:eastAsia="bg-BG"/>
              </w:rPr>
              <w:t>. Посочва се съответствие с</w:t>
            </w:r>
            <w:r w:rsidR="00425FAF">
              <w:rPr>
                <w:szCs w:val="24"/>
                <w:lang w:val="bg-BG" w:eastAsia="bg-BG"/>
              </w:rPr>
              <w:t xml:space="preserve">ъс социално  -икономическия </w:t>
            </w:r>
            <w:r w:rsidR="006E4498" w:rsidRPr="00C46C76">
              <w:rPr>
                <w:szCs w:val="24"/>
                <w:lang w:val="bg-BG" w:eastAsia="bg-BG"/>
              </w:rPr>
              <w:t xml:space="preserve"> анализ, направени при подготовката на СВОМР</w:t>
            </w:r>
            <w:r w:rsidR="00425FAF">
              <w:rPr>
                <w:szCs w:val="24"/>
                <w:lang w:val="bg-BG" w:eastAsia="bg-BG"/>
              </w:rPr>
              <w:t xml:space="preserve"> и публикуван на сайта МИГ „Лясковец – Стражица“.</w:t>
            </w:r>
          </w:p>
        </w:tc>
      </w:tr>
    </w:tbl>
    <w:p w14:paraId="21C0D3A3" w14:textId="77777777" w:rsidR="00EC67B1" w:rsidRPr="00EC67B1" w:rsidRDefault="00EC67B1" w:rsidP="00EC67B1">
      <w:pPr>
        <w:spacing w:before="120" w:after="120" w:line="240" w:lineRule="auto"/>
        <w:jc w:val="both"/>
        <w:outlineLvl w:val="0"/>
        <w:rPr>
          <w:rFonts w:ascii="Times New Roman" w:hAnsi="Times New Roman"/>
          <w:b/>
          <w:color w:val="0070C0"/>
          <w:sz w:val="26"/>
          <w:szCs w:val="26"/>
        </w:rPr>
      </w:pPr>
      <w:bookmarkStart w:id="37" w:name="_Toc445385601"/>
      <w:bookmarkStart w:id="38" w:name="_Toc445385602"/>
      <w:r w:rsidRPr="00EC67B1">
        <w:rPr>
          <w:rFonts w:ascii="Times New Roman" w:hAnsi="Times New Roman"/>
          <w:b/>
          <w:color w:val="0070C0"/>
          <w:sz w:val="26"/>
          <w:szCs w:val="26"/>
        </w:rPr>
        <w:lastRenderedPageBreak/>
        <w:t>16. Приложим режим на минимални/държавни помощи (ако е приложимо):</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EC67B1" w:rsidRPr="00EC67B1" w14:paraId="1B29FC5B" w14:textId="77777777">
        <w:tc>
          <w:tcPr>
            <w:tcW w:w="9496" w:type="dxa"/>
            <w:shd w:val="clear" w:color="auto" w:fill="auto"/>
          </w:tcPr>
          <w:p w14:paraId="7D83E74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Процедурата ще се изпълнява в съответствие с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 г. </w:t>
            </w:r>
          </w:p>
          <w:p w14:paraId="484DAC66"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 Режимът по държавните и минималните помощи се прилага само по отношение на предприятия.</w:t>
            </w:r>
          </w:p>
          <w:p w14:paraId="66DB91B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 „Икономическата дейност” се изразява в предлагането на стоки и/или услуги на съществуващ конкурентен пазар. </w:t>
            </w:r>
          </w:p>
          <w:p w14:paraId="10719FA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 -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 </w:t>
            </w:r>
          </w:p>
          <w:p w14:paraId="720592EA"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5AE21A6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 не може да надхвърля левовата равностойност на 200 000 евро (391 166 лв.) и съответно левовата равностойност на 100 000 евро (195 583 лв.) за едно и също предприятие, което осъществява автомобилни товарни превози за чужда сметка. </w:t>
            </w:r>
          </w:p>
          <w:p w14:paraId="2F1B19B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Тази помощ de minimis не се използва за придобиването на товарни автомобили за </w:t>
            </w:r>
            <w:r w:rsidRPr="00F80D4F">
              <w:rPr>
                <w:rFonts w:ascii="Times New Roman" w:eastAsia="Times New Roman" w:hAnsi="Times New Roman"/>
                <w:sz w:val="24"/>
                <w:szCs w:val="24"/>
                <w:lang w:eastAsia="bg-BG"/>
              </w:rPr>
              <w:lastRenderedPageBreak/>
              <w:t xml:space="preserve">автомобилен транспорт.  </w:t>
            </w:r>
          </w:p>
          <w:p w14:paraId="3DB63B7A"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помощта de minimis не се използват за придобиване на товарни автомобили. </w:t>
            </w:r>
          </w:p>
          <w:p w14:paraId="1314816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Размерът на предоставените минимални помощи се определя като сбор от помощта , за която се кандидатства и получената минимална помощ на територията на Република България от:</w:t>
            </w:r>
          </w:p>
          <w:p w14:paraId="14B5FEBA"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1.</w:t>
            </w:r>
            <w:r w:rsidRPr="00F80D4F">
              <w:rPr>
                <w:rFonts w:ascii="Times New Roman" w:eastAsia="Times New Roman" w:hAnsi="Times New Roman"/>
                <w:sz w:val="24"/>
                <w:szCs w:val="24"/>
                <w:lang w:eastAsia="bg-BG"/>
              </w:rPr>
              <w:tab/>
              <w:t>предприятието кандидат;</w:t>
            </w:r>
          </w:p>
          <w:p w14:paraId="24F9EE0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2.</w:t>
            </w:r>
            <w:r w:rsidRPr="00F80D4F">
              <w:rPr>
                <w:rFonts w:ascii="Times New Roman" w:eastAsia="Times New Roman" w:hAnsi="Times New Roman"/>
                <w:sz w:val="24"/>
                <w:szCs w:val="24"/>
                <w:lang w:eastAsia="bg-BG"/>
              </w:rPr>
              <w:tab/>
              <w:t>предприятията, с които кандидата образува „едно и също предприятие“ по смисъла на чл. 2, пар. 2 на Регламент (ЕС) № 1407/2013;</w:t>
            </w:r>
          </w:p>
          <w:p w14:paraId="232D4ED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3.</w:t>
            </w:r>
            <w:r w:rsidRPr="00F80D4F">
              <w:rPr>
                <w:rFonts w:ascii="Times New Roman" w:eastAsia="Times New Roman" w:hAnsi="Times New Roman"/>
                <w:sz w:val="24"/>
                <w:szCs w:val="24"/>
                <w:lang w:eastAsia="bg-BG"/>
              </w:rPr>
              <w:tab/>
              <w:t>всички предприятия, които са се влели, слели с или са придобити от някое от предприятията,  образуващи „едно и също предприятие“ с кандидата съгласно чл. 3, пар. 8 на Регламент (ЕС) № 1407/2013;</w:t>
            </w:r>
          </w:p>
          <w:p w14:paraId="1C35A4A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4.</w:t>
            </w:r>
            <w:r w:rsidRPr="00F80D4F">
              <w:rPr>
                <w:rFonts w:ascii="Times New Roman" w:eastAsia="Times New Roman" w:hAnsi="Times New Roman"/>
                <w:sz w:val="24"/>
                <w:szCs w:val="24"/>
                <w:lang w:eastAsia="bg-BG"/>
              </w:rPr>
              <w:tab/>
              <w:t>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 9 от Регламент (ЕС) № 1407/2013.</w:t>
            </w:r>
          </w:p>
          <w:p w14:paraId="50FB919C"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„Предприятие”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5E0DE4D0"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560FE2E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а) дадено предприятие притежава мнозинството от гласовете на акционерите или съдружниците в друго предприятие; </w:t>
            </w:r>
          </w:p>
          <w:p w14:paraId="3A8125A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078ED1D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0D15BC5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15E814A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14:paraId="036D0E7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w:t>
            </w:r>
            <w:r w:rsidRPr="00F80D4F">
              <w:rPr>
                <w:rFonts w:ascii="Times New Roman" w:eastAsia="Times New Roman" w:hAnsi="Times New Roman"/>
                <w:sz w:val="24"/>
                <w:szCs w:val="24"/>
                <w:lang w:eastAsia="bg-BG"/>
              </w:rPr>
              <w:lastRenderedPageBreak/>
              <w:t xml:space="preserve">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09D146E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Във връзка с извършване на  проверката по същество на обстоятелствата по чл.2, ал.2 на Регламент (ЕС) 1407/2013 („едно и също предприятие“), Управляващият орган или негов изпълнител може да изиска от кандидата някои от следните документи (за кандидата и всички свързани с него предприятия), отразяващи разпределението на капитала:</w:t>
            </w:r>
          </w:p>
          <w:p w14:paraId="3C9A951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Книга за акционерите – приложимо за акционерните дружества с поименни акции;</w:t>
            </w:r>
          </w:p>
          <w:p w14:paraId="1156668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Актуална справка за разпределението на капитала на дружеството – приложимо за акционерните дружества;</w:t>
            </w:r>
          </w:p>
          <w:p w14:paraId="3AA81459"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5D2162DC"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Книга за акционерите и устав – приложимо за командитните дружества с акции;</w:t>
            </w:r>
          </w:p>
          <w:p w14:paraId="64DA8B8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Устав – приложимо за кооперациите.</w:t>
            </w:r>
          </w:p>
          <w:p w14:paraId="2F27B2A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           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търговския регистър и РЮЛНЦ.</w:t>
            </w:r>
          </w:p>
          <w:p w14:paraId="20FE819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p>
          <w:p w14:paraId="5EBF8461" w14:textId="58AC502E"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Кандидати са недопустими да получат минимална помощ</w:t>
            </w:r>
            <w:r w:rsidR="0000444C" w:rsidRPr="0000444C">
              <w:rPr>
                <w:b/>
                <w:sz w:val="24"/>
                <w:szCs w:val="24"/>
                <w:vertAlign w:val="superscript"/>
              </w:rPr>
              <w:footnoteReference w:id="11"/>
            </w:r>
            <w:r w:rsidRPr="00F80D4F">
              <w:rPr>
                <w:rFonts w:ascii="Times New Roman" w:eastAsia="Times New Roman" w:hAnsi="Times New Roman"/>
                <w:sz w:val="24"/>
                <w:szCs w:val="24"/>
                <w:lang w:eastAsia="bg-BG"/>
              </w:rPr>
              <w:t>, ако попадат в забранителните режими на помощ в съответствие с Регламент (ЕС) № 1407/2013, а именно:</w:t>
            </w:r>
          </w:p>
          <w:p w14:paraId="74467259"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4D9DBCD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аквакултурите, включени в приложното поле на Регламент (ЕС) № 1379/2013).</w:t>
            </w:r>
          </w:p>
          <w:p w14:paraId="37633FE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75985889"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7089801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ii) когато помощта е свързана със задължението да бъде прехвърлена частично или </w:t>
            </w:r>
            <w:r w:rsidRPr="00F80D4F">
              <w:rPr>
                <w:rFonts w:ascii="Times New Roman" w:eastAsia="Times New Roman" w:hAnsi="Times New Roman"/>
                <w:sz w:val="24"/>
                <w:szCs w:val="24"/>
                <w:lang w:eastAsia="bg-BG"/>
              </w:rPr>
              <w:lastRenderedPageBreak/>
              <w:t>изцяло на първичните производители;</w:t>
            </w:r>
          </w:p>
          <w:p w14:paraId="660504F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При оценка изпълнението на условията за предоставяне на минимална помощ се вземат предвид дефинициите по чл. 2, пар. 1 от Регламента</w:t>
            </w:r>
            <w:r w:rsidR="0000444C" w:rsidRPr="0000444C">
              <w:rPr>
                <w:sz w:val="24"/>
                <w:szCs w:val="24"/>
                <w:vertAlign w:val="superscript"/>
              </w:rPr>
              <w:footnoteReference w:id="12"/>
            </w:r>
            <w:r w:rsidRPr="00F80D4F">
              <w:rPr>
                <w:rFonts w:ascii="Times New Roman" w:eastAsia="Times New Roman" w:hAnsi="Times New Roman"/>
                <w:sz w:val="24"/>
                <w:szCs w:val="24"/>
                <w:lang w:eastAsia="bg-BG"/>
              </w:rPr>
              <w:t xml:space="preserve">. </w:t>
            </w:r>
          </w:p>
          <w:p w14:paraId="699B901A"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 процедурата не се предоставят помощ на кандидат, когато отпускането й води до нарушаване на разпоредбите на Регламент (ЕС) № 1407/2014 г., включително на чл. 1, пар. 1 букви в), г) и д) от Регламента. </w:t>
            </w:r>
          </w:p>
          <w:p w14:paraId="0FF42DA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258760D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д) помощите, подчинени на преференциалното използване на национални продукти спрямо вносни такива.</w:t>
            </w:r>
          </w:p>
          <w:p w14:paraId="5599F7E8"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 процедурата не се предоставят помощ на кандидат, когато отпускането й води до нарушаване на разпоредбите на Регламент (ЕС) № 1407/2014 г. </w:t>
            </w:r>
          </w:p>
          <w:p w14:paraId="0EC87226"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Когато дадено предприятие упражнява дейност в секторите, посочени по-горе в букви а) или б) ,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 и б) не се ползват от помощ de minimis, предоставена съгласно Регламент (ЕС) № 1407/2013 г.</w:t>
            </w:r>
          </w:p>
          <w:p w14:paraId="3ACFE0B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53ED90B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14:paraId="5BD4D4E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w:t>
            </w:r>
          </w:p>
          <w:p w14:paraId="0EF9874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lastRenderedPageBreak/>
              <w:t>При определяне на допустимостта съгласно посочения критерий за натрупване, преди сключване на договор с кандидатите, се прави проверка на информацията, вписана в информационна система „Регистър на минималните помощи“ -  htttp://minimis.minfin.bg. Допълнително, преди всяко плащане се извършва съпоставка на данните в информационна система „Регистър на минималните помощи” и декларациите за минимални помощи, предоставени от кандидатите.</w:t>
            </w:r>
          </w:p>
          <w:p w14:paraId="15C68575" w14:textId="77777777" w:rsidR="00F80D4F" w:rsidRPr="00CE0058" w:rsidRDefault="00F80D4F" w:rsidP="00F80D4F">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 xml:space="preserve">За да удостоверят, че осъществяват икономическата си дейност в допустимите сектори, кандидатите декларират кодовете на основната и допълнителната си икономическа дейност в Декларацията за минимални и държавни помощи и във т. 2 от Формуляра за кандидатстване. Кодът се определя въз основа на данните за организацията за последната приключила финансова година. </w:t>
            </w:r>
          </w:p>
          <w:p w14:paraId="7BFA9FDC"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p>
          <w:p w14:paraId="58D3AA4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Допустимостта на кандидатите се удостоверява посредством декларираните данни в Декларацията за минимални и държавни помощи и се проверява служебно към момента на сключване на административен договор.</w:t>
            </w:r>
          </w:p>
          <w:p w14:paraId="4B37C98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чр. 3, ал. 2 на Регламента, като натрупването на минималните помощи е по вид дейности до съответия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363BC758"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съгласно</w:t>
            </w:r>
          </w:p>
          <w:p w14:paraId="2E5B3963"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регламент за групово освобождаване или с решение, приети от Комисията.</w:t>
            </w:r>
          </w:p>
          <w:p w14:paraId="7CB54A33"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Когато с отпускането на нова помощ de minimis може да бъде надвишен съответния таван, определен в параграф 2 на Регламент 1407/2013, никоя част от тази нова помощ не може да попада в приложното поле на същия регламент.</w:t>
            </w:r>
          </w:p>
          <w:p w14:paraId="51EC926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Държавите членки предоставят нова помощ de minimis в съответствие с настоящия регламент само след като са проверили, че с нея общият размер на помощта de minimis,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w:t>
            </w:r>
            <w:r w:rsidRPr="00F80D4F">
              <w:rPr>
                <w:rFonts w:ascii="Times New Roman" w:eastAsia="Times New Roman" w:hAnsi="Times New Roman"/>
                <w:sz w:val="24"/>
                <w:szCs w:val="24"/>
                <w:lang w:eastAsia="bg-BG"/>
              </w:rPr>
              <w:lastRenderedPageBreak/>
              <w:t>установени в настоящия регламент.</w:t>
            </w:r>
          </w:p>
          <w:p w14:paraId="7BB9F18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Данните за получените предходни минимални помощи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2772CB8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14:paraId="79F63EEC"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76D8D7DF" w14:textId="77777777" w:rsidR="00F80D4F" w:rsidRPr="00CE0058" w:rsidRDefault="00F80D4F" w:rsidP="00F80D4F">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Преди сключване на договор, Управляващият орган на ОПРЧР ще извършва проверка по същество на декларираната от одобрените кандидати помощ в режим de minimis,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попада в забранителния режим, ще бъде издадено Решение за отказ за предоставяне на безвъзмездна финансова помощ за съответния кандидат.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По отношение кодовете на икономическа дейност на предприятието се извършва служебна проверка чрез НСИ.</w:t>
            </w:r>
          </w:p>
          <w:p w14:paraId="77DE74D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Управляващият орган не носят отговорност за погрешно декларирана сума на получена минимална помощ, довела до отказ от сключване на договор.</w:t>
            </w:r>
          </w:p>
          <w:p w14:paraId="2C34DBB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Таваните, посочени в чл. 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текущата година и предходните две.</w:t>
            </w:r>
          </w:p>
          <w:p w14:paraId="02DE7260"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 (ЕС) № 1407/2013.</w:t>
            </w:r>
          </w:p>
          <w:p w14:paraId="2AD66D65"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МИГ и бенефициента, независимо от датата на нейното изплащане на предприятието.</w:t>
            </w:r>
          </w:p>
          <w:p w14:paraId="7F2F8F16"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по чл. 38, ал.1 </w:t>
            </w:r>
            <w:r w:rsidRPr="00F80D4F">
              <w:rPr>
                <w:rFonts w:ascii="Times New Roman" w:eastAsia="Times New Roman" w:hAnsi="Times New Roman"/>
                <w:sz w:val="24"/>
                <w:szCs w:val="24"/>
                <w:lang w:eastAsia="bg-BG"/>
              </w:rPr>
              <w:lastRenderedPageBreak/>
              <w:t>от ЗДП и не е възстановило неправомерно получена държавна помощ.</w:t>
            </w:r>
          </w:p>
          <w:p w14:paraId="5E91363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 3.80 от Административния договор.  </w:t>
            </w:r>
          </w:p>
          <w:p w14:paraId="03D9426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Неправомерно получената минимална помощ или помощ, освободена от задължението за уведомяване с акт на Съвета на Европейския съюз или на Европейската комисия, представлява публично вземане, което се установява от администратора на помощ чрез издаване на акт за установяване на публичното вземане по реда на Административнопроцесуалния кодекс. Вземанията по издадените актове подлежат на събиране по реда на Данъчно-осигурителния процесуален кодекс от органите на Националната агенция за приходите. Администраторът на помощ, издал акта за установяване на публичното вземане по реда на АПК в срок до три работни дни от издаването на акта  информира министъра на финансите.</w:t>
            </w:r>
          </w:p>
          <w:p w14:paraId="40D6521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37 от ЗДП, от Глава V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7919592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5C7D607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w:t>
            </w:r>
          </w:p>
          <w:p w14:paraId="50E9A8E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w:t>
            </w:r>
            <w:r w:rsidRPr="00F80D4F">
              <w:rPr>
                <w:rFonts w:ascii="Times New Roman" w:eastAsia="Times New Roman" w:hAnsi="Times New Roman"/>
                <w:sz w:val="24"/>
                <w:szCs w:val="24"/>
                <w:lang w:eastAsia="bg-BG"/>
              </w:rPr>
              <w:lastRenderedPageBreak/>
              <w:t>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2F010480"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Администратор на минимални помощи по настоящата процедура е Министерство на труда и социалната политика, в качеството си на Управляващ орган на Оперативна програма „Развитие на човешките ресурси “</w:t>
            </w:r>
          </w:p>
          <w:p w14:paraId="55167BE3"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Задължение на Администратора на помощта, произтичащо от чл. 34, ал. 1 от ЗДП и чл. 9, ал. 4 от Правилника за неговото прилагане, е да информира министъра на финансите в срок от 3 работни дни от предоставянето на всяка помощ de minimis чрез Информационната система „Регистър за минималните помощи“ (htpp://minimis.minfin.bg)</w:t>
            </w:r>
          </w:p>
          <w:p w14:paraId="5A9BA80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208AECD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При поискване от Европейската комисия бенефициентът предоставя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14:paraId="5A51C683" w14:textId="77777777" w:rsidR="0000444C" w:rsidRDefault="0000444C" w:rsidP="00F80D4F">
            <w:pPr>
              <w:spacing w:before="120" w:after="120" w:line="240" w:lineRule="auto"/>
              <w:jc w:val="both"/>
              <w:rPr>
                <w:rFonts w:ascii="Times New Roman" w:eastAsia="Times New Roman" w:hAnsi="Times New Roman"/>
                <w:sz w:val="24"/>
                <w:szCs w:val="24"/>
                <w:lang w:eastAsia="bg-BG"/>
              </w:rPr>
            </w:pPr>
          </w:p>
          <w:p w14:paraId="0E39641D" w14:textId="77777777" w:rsidR="00F80D4F" w:rsidRPr="00CE0058" w:rsidRDefault="00F80D4F" w:rsidP="00F80D4F">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Съгласно чл.38, т.5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се надхвърля прагът на допустимите минимални помощи.</w:t>
            </w:r>
          </w:p>
          <w:p w14:paraId="4AC25BD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1D492C02" w14:textId="77777777" w:rsidR="00EC67B1" w:rsidRPr="00EC67B1" w:rsidRDefault="00F80D4F" w:rsidP="00F80D4F">
            <w:pPr>
              <w:spacing w:before="120" w:after="120" w:line="240" w:lineRule="auto"/>
              <w:jc w:val="both"/>
              <w:rPr>
                <w:rFonts w:ascii="Times New Roman" w:eastAsia="Times New Roman" w:hAnsi="Times New Roman"/>
                <w:b/>
                <w:sz w:val="24"/>
                <w:szCs w:val="24"/>
                <w:lang w:eastAsia="bg-BG"/>
              </w:rPr>
            </w:pPr>
            <w:r w:rsidRPr="00F80D4F">
              <w:rPr>
                <w:rFonts w:ascii="Times New Roman" w:eastAsia="Times New Roman" w:hAnsi="Times New Roman"/>
                <w:sz w:val="24"/>
                <w:szCs w:val="24"/>
                <w:lang w:eastAsia="bg-BG"/>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p>
        </w:tc>
      </w:tr>
      <w:tr w:rsidR="007446A2" w:rsidRPr="00EC67B1" w14:paraId="3456C97C" w14:textId="77777777">
        <w:tc>
          <w:tcPr>
            <w:tcW w:w="9496" w:type="dxa"/>
            <w:shd w:val="clear" w:color="auto" w:fill="auto"/>
          </w:tcPr>
          <w:p w14:paraId="34C2E84E" w14:textId="77777777" w:rsidR="007446A2" w:rsidRPr="00EC67B1" w:rsidRDefault="007446A2" w:rsidP="00AD7846">
            <w:pPr>
              <w:spacing w:before="120" w:after="120" w:line="240" w:lineRule="auto"/>
              <w:jc w:val="both"/>
              <w:rPr>
                <w:rFonts w:ascii="Times New Roman" w:eastAsia="Times New Roman" w:hAnsi="Times New Roman"/>
                <w:i/>
                <w:sz w:val="24"/>
                <w:szCs w:val="24"/>
                <w:lang w:eastAsia="bg-BG"/>
              </w:rPr>
            </w:pPr>
            <w:r>
              <w:rPr>
                <w:rFonts w:ascii="Times New Roman" w:eastAsia="Times New Roman" w:hAnsi="Times New Roman"/>
                <w:i/>
                <w:sz w:val="24"/>
                <w:szCs w:val="24"/>
                <w:lang w:eastAsia="bg-BG"/>
              </w:rPr>
              <w:lastRenderedPageBreak/>
              <w:t xml:space="preserve"> </w:t>
            </w:r>
          </w:p>
        </w:tc>
      </w:tr>
    </w:tbl>
    <w:p w14:paraId="007C6907" w14:textId="77777777" w:rsidR="009B4E4D" w:rsidRPr="007713C1" w:rsidRDefault="00F21DA5" w:rsidP="007570DC">
      <w:pPr>
        <w:pStyle w:val="Heading1"/>
      </w:pPr>
      <w:r w:rsidRPr="007713C1">
        <w:t>17. Хоризонтални политики</w:t>
      </w:r>
      <w:r w:rsidR="00C6489D" w:rsidRPr="007713C1">
        <w:t>:</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6489D" w:rsidRPr="008F724D" w14:paraId="7A01E483" w14:textId="77777777">
        <w:tc>
          <w:tcPr>
            <w:tcW w:w="9496" w:type="dxa"/>
          </w:tcPr>
          <w:p w14:paraId="089526F7" w14:textId="77777777" w:rsidR="00081AB7" w:rsidRPr="00CE0058" w:rsidRDefault="00081AB7" w:rsidP="00081AB7">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5D047518" w14:textId="77777777" w:rsidR="00081AB7" w:rsidRPr="00CE0058" w:rsidRDefault="00081AB7" w:rsidP="00081AB7">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0F0D0FBC"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w:t>
            </w:r>
            <w:r w:rsidRPr="00081AB7">
              <w:rPr>
                <w:rFonts w:ascii="Times New Roman" w:eastAsia="Times New Roman" w:hAnsi="Times New Roman"/>
                <w:sz w:val="24"/>
                <w:szCs w:val="24"/>
                <w:lang w:eastAsia="bg-BG"/>
              </w:rPr>
              <w:tab/>
            </w:r>
            <w:r w:rsidRPr="00CE0058">
              <w:rPr>
                <w:rFonts w:ascii="Times New Roman" w:eastAsia="Times New Roman" w:hAnsi="Times New Roman"/>
                <w:b/>
                <w:sz w:val="24"/>
                <w:szCs w:val="24"/>
                <w:lang w:eastAsia="bg-BG"/>
              </w:rPr>
              <w:t>Равни възможности и недопускане на дискриминация</w:t>
            </w:r>
          </w:p>
          <w:p w14:paraId="03215600"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 xml:space="preserve">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 </w:t>
            </w:r>
            <w:r w:rsidRPr="00081AB7">
              <w:rPr>
                <w:rFonts w:ascii="Times New Roman" w:eastAsia="Times New Roman" w:hAnsi="Times New Roman"/>
                <w:sz w:val="24"/>
                <w:szCs w:val="24"/>
                <w:lang w:eastAsia="bg-BG"/>
              </w:rPr>
              <w:lastRenderedPageBreak/>
              <w:t>са предприети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30ECE20B"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w:t>
            </w:r>
            <w:r w:rsidRPr="00081AB7">
              <w:rPr>
                <w:rFonts w:ascii="Times New Roman" w:eastAsia="Times New Roman" w:hAnsi="Times New Roman"/>
                <w:sz w:val="24"/>
                <w:szCs w:val="24"/>
                <w:lang w:eastAsia="bg-BG"/>
              </w:rPr>
              <w:tab/>
            </w:r>
            <w:r w:rsidRPr="00CE0058">
              <w:rPr>
                <w:rFonts w:ascii="Times New Roman" w:eastAsia="Times New Roman" w:hAnsi="Times New Roman"/>
                <w:b/>
                <w:sz w:val="24"/>
                <w:szCs w:val="24"/>
                <w:lang w:eastAsia="bg-BG"/>
              </w:rPr>
              <w:t>Равенство между половете</w:t>
            </w:r>
          </w:p>
          <w:p w14:paraId="0AA881A4"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14:paraId="7D821930"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Конкретно в рамките на програмата са подкрепяни 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14:paraId="030D3184"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върху мъжете, така и върху жените.</w:t>
            </w:r>
          </w:p>
          <w:p w14:paraId="2C3137CC" w14:textId="77777777" w:rsidR="00081AB7" w:rsidRPr="00CE0058" w:rsidRDefault="00081AB7" w:rsidP="00081AB7">
            <w:pPr>
              <w:pStyle w:val="ListParagraph"/>
              <w:spacing w:before="120" w:after="120" w:line="240" w:lineRule="auto"/>
              <w:jc w:val="both"/>
              <w:rPr>
                <w:rFonts w:ascii="Times New Roman" w:eastAsia="Times New Roman" w:hAnsi="Times New Roman"/>
                <w:b/>
                <w:sz w:val="24"/>
                <w:szCs w:val="24"/>
                <w:lang w:eastAsia="bg-BG"/>
              </w:rPr>
            </w:pPr>
            <w:r w:rsidRPr="00081AB7">
              <w:rPr>
                <w:rFonts w:ascii="Times New Roman" w:eastAsia="Times New Roman" w:hAnsi="Times New Roman"/>
                <w:sz w:val="24"/>
                <w:szCs w:val="24"/>
                <w:lang w:eastAsia="bg-BG"/>
              </w:rPr>
              <w:t>•</w:t>
            </w:r>
            <w:r w:rsidRPr="00081AB7">
              <w:rPr>
                <w:rFonts w:ascii="Times New Roman" w:eastAsia="Times New Roman" w:hAnsi="Times New Roman"/>
                <w:sz w:val="24"/>
                <w:szCs w:val="24"/>
                <w:lang w:eastAsia="bg-BG"/>
              </w:rPr>
              <w:tab/>
            </w:r>
            <w:r w:rsidRPr="00CE0058">
              <w:rPr>
                <w:rFonts w:ascii="Times New Roman" w:eastAsia="Times New Roman" w:hAnsi="Times New Roman"/>
                <w:b/>
                <w:sz w:val="24"/>
                <w:szCs w:val="24"/>
                <w:lang w:eastAsia="bg-BG"/>
              </w:rPr>
              <w:t>Устойчиво развитие</w:t>
            </w:r>
          </w:p>
          <w:p w14:paraId="77365258" w14:textId="77777777" w:rsidR="00C6489D" w:rsidRPr="008F724D" w:rsidRDefault="00081AB7" w:rsidP="00081AB7">
            <w:pPr>
              <w:pStyle w:val="ListParagraph"/>
              <w:spacing w:before="120" w:after="120" w:line="240" w:lineRule="auto"/>
              <w:ind w:left="0"/>
              <w:contextualSpacing w:val="0"/>
              <w:jc w:val="both"/>
              <w:rPr>
                <w:rFonts w:ascii="Times New Roman" w:eastAsia="Times New Roman" w:hAnsi="Times New Roman"/>
                <w:b/>
                <w:sz w:val="24"/>
                <w:szCs w:val="24"/>
                <w:lang w:eastAsia="bg-BG"/>
              </w:rPr>
            </w:pPr>
            <w:r w:rsidRPr="00081AB7">
              <w:rPr>
                <w:rFonts w:ascii="Times New Roman" w:eastAsia="Times New Roman" w:hAnsi="Times New Roman"/>
                <w:sz w:val="24"/>
                <w:szCs w:val="24"/>
                <w:lang w:eastAsia="bg-BG"/>
              </w:rPr>
              <w:t>Посредством инвестиционните приоритети, към които е насочена подкрепата на ОП РЧР 2014-2020 г. се предоставя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14:paraId="35A8812F" w14:textId="77777777" w:rsidR="004728F6" w:rsidRPr="007713C1" w:rsidRDefault="004728F6" w:rsidP="007570DC">
      <w:pPr>
        <w:pStyle w:val="Heading1"/>
      </w:pPr>
      <w:bookmarkStart w:id="39" w:name="_Toc445385607"/>
      <w:r w:rsidRPr="007713C1">
        <w:lastRenderedPageBreak/>
        <w:t>18. Минимален и максимален срок за изпълнение на проекта (ако е приложимо):</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922478" w:rsidRPr="008F724D" w14:paraId="2956A784" w14:textId="77777777">
        <w:tc>
          <w:tcPr>
            <w:tcW w:w="9496" w:type="dxa"/>
          </w:tcPr>
          <w:p w14:paraId="1C70AAD6" w14:textId="77777777" w:rsidR="00F71D42" w:rsidRPr="004058DB" w:rsidRDefault="00C47745" w:rsidP="008967CD">
            <w:pPr>
              <w:pStyle w:val="ListParagraph"/>
              <w:spacing w:before="120" w:after="120" w:line="240" w:lineRule="auto"/>
              <w:ind w:left="0"/>
              <w:contextualSpacing w:val="0"/>
              <w:jc w:val="both"/>
              <w:rPr>
                <w:rFonts w:ascii="Times New Roman" w:eastAsia="Times New Roman" w:hAnsi="Times New Roman"/>
                <w:sz w:val="24"/>
                <w:szCs w:val="24"/>
                <w:lang w:eastAsia="bg-BG"/>
              </w:rPr>
            </w:pPr>
            <w:r w:rsidRPr="00C47745">
              <w:rPr>
                <w:rFonts w:ascii="Times New Roman" w:eastAsia="Times New Roman" w:hAnsi="Times New Roman"/>
                <w:sz w:val="24"/>
                <w:szCs w:val="24"/>
                <w:lang w:eastAsia="bg-BG"/>
              </w:rPr>
              <w:t>Проектните предложения се изпълняват в срок до 24 месеца. Крайният срок за изпълнение на дейностите по административните договори по настоящата процедура е 30.06.2023 г.</w:t>
            </w:r>
          </w:p>
        </w:tc>
      </w:tr>
    </w:tbl>
    <w:p w14:paraId="7C652946" w14:textId="77777777" w:rsidR="007C2DB2" w:rsidRPr="007713C1" w:rsidRDefault="00FF0B9A" w:rsidP="007570DC">
      <w:pPr>
        <w:pStyle w:val="Heading1"/>
      </w:pPr>
      <w:bookmarkStart w:id="40" w:name="_Toc445385608"/>
      <w:r w:rsidRPr="007713C1">
        <w:t xml:space="preserve">19. </w:t>
      </w:r>
      <w:bookmarkStart w:id="41" w:name="_Toc445385610"/>
      <w:bookmarkEnd w:id="40"/>
      <w:r w:rsidR="007C2DB2" w:rsidRPr="007713C1">
        <w:t>Ред за оценяване на проектните предложения:</w:t>
      </w:r>
      <w:bookmarkEnd w:id="4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C2DB2" w:rsidRPr="008F724D" w14:paraId="72962A28" w14:textId="77777777">
        <w:tc>
          <w:tcPr>
            <w:tcW w:w="9606" w:type="dxa"/>
          </w:tcPr>
          <w:p w14:paraId="4FED56B8" w14:textId="77777777" w:rsidR="00C47745" w:rsidRPr="00CE0058" w:rsidRDefault="00C47745" w:rsidP="00C47745">
            <w:pPr>
              <w:pStyle w:val="Text1"/>
              <w:tabs>
                <w:tab w:val="left" w:pos="567"/>
                <w:tab w:val="left" w:pos="2608"/>
                <w:tab w:val="left" w:pos="3317"/>
              </w:tabs>
              <w:spacing w:before="120" w:after="120"/>
              <w:ind w:left="0"/>
              <w:rPr>
                <w:szCs w:val="24"/>
                <w:lang w:val="bg-BG" w:eastAsia="bg-BG"/>
              </w:rPr>
            </w:pPr>
            <w:r w:rsidRPr="00CE0058">
              <w:rPr>
                <w:szCs w:val="24"/>
                <w:lang w:val="bg-BG" w:eastAsia="bg-BG"/>
              </w:rPr>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5F24A716" w14:textId="77777777" w:rsidR="00C47745" w:rsidRPr="00CE0058" w:rsidRDefault="00C47745" w:rsidP="00C47745">
            <w:pPr>
              <w:pStyle w:val="Text1"/>
              <w:tabs>
                <w:tab w:val="left" w:pos="567"/>
                <w:tab w:val="left" w:pos="2608"/>
                <w:tab w:val="left" w:pos="3317"/>
              </w:tabs>
              <w:spacing w:before="120" w:after="120"/>
              <w:ind w:left="0"/>
              <w:rPr>
                <w:szCs w:val="24"/>
                <w:lang w:val="bg-BG" w:eastAsia="bg-BG"/>
              </w:rPr>
            </w:pPr>
            <w:r w:rsidRPr="00CE0058">
              <w:rPr>
                <w:szCs w:val="24"/>
                <w:lang w:val="bg-BG" w:eastAsia="bg-BG"/>
              </w:rPr>
              <w:lastRenderedPageBreak/>
              <w:tab/>
              <w:t>1. Оценка на административното съответствие и допустимостта;</w:t>
            </w:r>
          </w:p>
          <w:p w14:paraId="1C2AD375" w14:textId="77777777" w:rsidR="00C47745" w:rsidRPr="00CE0058" w:rsidRDefault="00C47745" w:rsidP="00C47745">
            <w:pPr>
              <w:pStyle w:val="Text1"/>
              <w:tabs>
                <w:tab w:val="left" w:pos="567"/>
                <w:tab w:val="left" w:pos="2608"/>
                <w:tab w:val="left" w:pos="3317"/>
              </w:tabs>
              <w:spacing w:before="120" w:after="120"/>
              <w:rPr>
                <w:szCs w:val="24"/>
                <w:lang w:val="bg-BG" w:eastAsia="bg-BG"/>
              </w:rPr>
            </w:pPr>
            <w:r w:rsidRPr="00CE0058">
              <w:rPr>
                <w:szCs w:val="24"/>
                <w:lang w:val="bg-BG" w:eastAsia="bg-BG"/>
              </w:rPr>
              <w:tab/>
              <w:t>2. Техническа и финансова оценка.</w:t>
            </w:r>
          </w:p>
          <w:p w14:paraId="31FEE887" w14:textId="77777777" w:rsidR="00C47745" w:rsidRPr="00C47745" w:rsidRDefault="00C47745" w:rsidP="00C47745">
            <w:pPr>
              <w:pStyle w:val="Text1"/>
              <w:tabs>
                <w:tab w:val="left" w:pos="567"/>
                <w:tab w:val="left" w:pos="2608"/>
                <w:tab w:val="left" w:pos="3317"/>
              </w:tabs>
              <w:spacing w:before="120" w:after="120"/>
              <w:ind w:left="0"/>
              <w:rPr>
                <w:b/>
                <w:szCs w:val="24"/>
                <w:lang w:val="bg-BG" w:eastAsia="bg-BG"/>
              </w:rPr>
            </w:pPr>
            <w:r w:rsidRPr="00C47745">
              <w:rPr>
                <w:b/>
                <w:szCs w:val="24"/>
                <w:lang w:val="bg-BG" w:eastAsia="bg-BG"/>
              </w:rPr>
              <w:t>ЕТАП 1: ОЦЕНКА НА АДМИНИСТРАТИВНОТО СЪОТВЕТСТВИЕ И ДОПУСТИМОСТТА</w:t>
            </w:r>
          </w:p>
          <w:p w14:paraId="1B2B3F4A" w14:textId="77777777" w:rsidR="00C47745" w:rsidRPr="00C47745" w:rsidRDefault="00C47745" w:rsidP="00C47745">
            <w:pPr>
              <w:pStyle w:val="Text1"/>
              <w:tabs>
                <w:tab w:val="left" w:pos="567"/>
                <w:tab w:val="left" w:pos="2608"/>
                <w:tab w:val="left" w:pos="3317"/>
              </w:tabs>
              <w:spacing w:before="120" w:after="120"/>
              <w:ind w:left="0"/>
              <w:rPr>
                <w:b/>
                <w:szCs w:val="24"/>
                <w:lang w:val="bg-BG" w:eastAsia="bg-BG"/>
              </w:rPr>
            </w:pPr>
            <w:r w:rsidRPr="00C47745">
              <w:rPr>
                <w:b/>
                <w:szCs w:val="24"/>
                <w:lang w:val="bg-BG" w:eastAsia="bg-BG"/>
              </w:rPr>
              <w:t>Комисия, назначена със заповед на председателя на Управителния съвет на МИГ, ще извърши оценка на на проектните предложения.</w:t>
            </w:r>
          </w:p>
          <w:p w14:paraId="6527AEDB" w14:textId="77777777" w:rsidR="00C47745" w:rsidRPr="00C47745" w:rsidRDefault="00C47745" w:rsidP="00C47745">
            <w:pPr>
              <w:pStyle w:val="Text1"/>
              <w:tabs>
                <w:tab w:val="left" w:pos="567"/>
                <w:tab w:val="left" w:pos="2608"/>
                <w:tab w:val="left" w:pos="3317"/>
              </w:tabs>
              <w:spacing w:before="120" w:after="120"/>
              <w:ind w:left="0"/>
              <w:rPr>
                <w:b/>
                <w:szCs w:val="24"/>
                <w:lang w:val="bg-BG" w:eastAsia="bg-BG"/>
              </w:rPr>
            </w:pPr>
            <w:r w:rsidRPr="00C47745">
              <w:rPr>
                <w:b/>
                <w:szCs w:val="24"/>
                <w:lang w:val="bg-BG" w:eastAsia="bg-BG"/>
              </w:rPr>
              <w:t>Съгласно разпоредбите на Минималните изисквания по чл. 41, ал. 2 от ПМС 161 от 04 юли 2016 г. 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качеството на проектното предложение.</w:t>
            </w:r>
          </w:p>
          <w:p w14:paraId="3E6BF182" w14:textId="77777777" w:rsidR="00C47745" w:rsidRPr="00CE0058" w:rsidRDefault="00C47745" w:rsidP="00C47745">
            <w:pPr>
              <w:pStyle w:val="Text1"/>
              <w:tabs>
                <w:tab w:val="left" w:pos="567"/>
                <w:tab w:val="left" w:pos="2608"/>
                <w:tab w:val="left" w:pos="3317"/>
              </w:tabs>
              <w:spacing w:before="120" w:after="120"/>
              <w:ind w:left="0"/>
              <w:rPr>
                <w:szCs w:val="24"/>
                <w:u w:val="single"/>
                <w:lang w:val="bg-BG" w:eastAsia="bg-BG"/>
              </w:rPr>
            </w:pPr>
            <w:r w:rsidRPr="00CE0058">
              <w:rPr>
                <w:szCs w:val="24"/>
                <w:u w:val="single"/>
                <w:lang w:val="bg-BG" w:eastAsia="bg-BG"/>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4E1CDBEC" w14:textId="77777777" w:rsidR="00C47745" w:rsidRPr="00CE0058" w:rsidRDefault="00C47745" w:rsidP="00C47745">
            <w:pPr>
              <w:pStyle w:val="Text1"/>
              <w:tabs>
                <w:tab w:val="left" w:pos="567"/>
                <w:tab w:val="left" w:pos="2608"/>
                <w:tab w:val="left" w:pos="3317"/>
              </w:tabs>
              <w:spacing w:before="120" w:after="120"/>
              <w:ind w:left="0"/>
              <w:rPr>
                <w:szCs w:val="24"/>
                <w:lang w:val="bg-BG" w:eastAsia="bg-BG"/>
              </w:rPr>
            </w:pPr>
            <w:r w:rsidRPr="00CE0058">
              <w:rPr>
                <w:szCs w:val="24"/>
                <w:lang w:val="bg-BG" w:eastAsia="bg-BG"/>
              </w:rPr>
              <w:t xml:space="preserve">Кандидатът няма право да представя на комисията други документи освен липсващите и тези за отстраняване на нередовностите. </w:t>
            </w:r>
          </w:p>
          <w:p w14:paraId="442DC274" w14:textId="77777777" w:rsidR="00C47745" w:rsidRPr="00CE0058" w:rsidRDefault="00C47745" w:rsidP="00CE0058">
            <w:pPr>
              <w:pStyle w:val="Text1"/>
              <w:tabs>
                <w:tab w:val="left" w:pos="567"/>
                <w:tab w:val="left" w:pos="2608"/>
                <w:tab w:val="left" w:pos="3317"/>
              </w:tabs>
              <w:spacing w:before="120" w:after="120"/>
              <w:ind w:left="0"/>
              <w:rPr>
                <w:szCs w:val="24"/>
                <w:lang w:val="bg-BG" w:eastAsia="bg-BG"/>
              </w:rPr>
            </w:pPr>
            <w:r w:rsidRPr="00CE0058">
              <w:rPr>
                <w:szCs w:val="24"/>
                <w:lang w:val="bg-BG" w:eastAsia="bg-BG"/>
              </w:rPr>
              <w:t>На следния уеб адрес е наличен видеоклип, онагледяващ процеса на отговор на въпрос от оценителната комисия:</w:t>
            </w:r>
          </w:p>
          <w:p w14:paraId="2A89AE30" w14:textId="77777777" w:rsidR="00C47745" w:rsidRDefault="00C47745" w:rsidP="00C47745">
            <w:pPr>
              <w:pStyle w:val="Text1"/>
              <w:tabs>
                <w:tab w:val="left" w:pos="567"/>
                <w:tab w:val="left" w:pos="2608"/>
                <w:tab w:val="left" w:pos="3317"/>
              </w:tabs>
              <w:spacing w:before="120" w:after="120"/>
              <w:jc w:val="left"/>
              <w:rPr>
                <w:b/>
                <w:szCs w:val="24"/>
                <w:lang w:val="bg-BG" w:eastAsia="bg-BG"/>
              </w:rPr>
            </w:pPr>
            <w:r w:rsidRPr="00C47745">
              <w:rPr>
                <w:b/>
                <w:szCs w:val="24"/>
                <w:lang w:val="bg-BG" w:eastAsia="bg-BG"/>
              </w:rPr>
              <w:t>https://www.youtube.com/watch?v=x6T0AavwC68</w:t>
            </w:r>
          </w:p>
          <w:p w14:paraId="7EEC3D4D" w14:textId="77777777" w:rsidR="00D00F5E" w:rsidRPr="008F724D" w:rsidRDefault="00D00F5E" w:rsidP="008F724D">
            <w:pPr>
              <w:pStyle w:val="Text1"/>
              <w:tabs>
                <w:tab w:val="left" w:pos="567"/>
                <w:tab w:val="left" w:pos="2608"/>
                <w:tab w:val="left" w:pos="3317"/>
              </w:tabs>
              <w:spacing w:before="120" w:after="120"/>
              <w:jc w:val="left"/>
              <w:rPr>
                <w:b/>
                <w:szCs w:val="24"/>
                <w:lang w:val="bg-BG" w:eastAsia="bg-BG"/>
              </w:rPr>
            </w:pPr>
            <w:r w:rsidRPr="008F724D">
              <w:rPr>
                <w:b/>
                <w:szCs w:val="24"/>
                <w:lang w:val="bg-BG" w:eastAsia="bg-BG"/>
              </w:rPr>
              <w:t xml:space="preserve">ЕТАП 2: ТЕХНИЧЕСКА И ФИНАНСОВА ОЦЕНКА </w:t>
            </w:r>
          </w:p>
          <w:p w14:paraId="47F8B952" w14:textId="77777777" w:rsidR="00D00F5E" w:rsidRDefault="00D00F5E"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w:t>
            </w:r>
            <w:r w:rsidRPr="008F724D">
              <w:rPr>
                <w:rStyle w:val="ldef"/>
                <w:rFonts w:ascii="Times New Roman" w:eastAsia="Times New Roman" w:hAnsi="Times New Roman"/>
                <w:sz w:val="24"/>
                <w:szCs w:val="24"/>
                <w:lang w:eastAsia="bg-BG"/>
              </w:rPr>
              <w:t xml:space="preserve">Техническа и финансова оценка” </w:t>
            </w:r>
            <w:r w:rsidRPr="008F724D">
              <w:rPr>
                <w:rFonts w:ascii="Times New Roman" w:eastAsia="Times New Roman" w:hAnsi="Times New Roman"/>
                <w:sz w:val="24"/>
                <w:szCs w:val="24"/>
                <w:lang w:eastAsia="bg-BG"/>
              </w:rPr>
              <w:t>е оценка по същество на проектните предложения, която се извършва в съответствие с критериите за оценка.</w:t>
            </w:r>
          </w:p>
          <w:p w14:paraId="2BEA4C7E" w14:textId="5D354D27" w:rsidR="0098788A" w:rsidRPr="0098788A" w:rsidRDefault="0098788A" w:rsidP="0098788A">
            <w:p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98788A">
              <w:rPr>
                <w:rFonts w:ascii="Times New Roman" w:eastAsia="Times New Roman" w:hAnsi="Times New Roman"/>
                <w:b/>
                <w:bCs/>
                <w:sz w:val="24"/>
                <w:szCs w:val="24"/>
                <w:lang w:eastAsia="bg-BG"/>
              </w:rPr>
              <w:t xml:space="preserve">Ако общият брой получени точки за </w:t>
            </w:r>
            <w:r w:rsidR="003109BD">
              <w:rPr>
                <w:rFonts w:ascii="Times New Roman" w:eastAsia="Times New Roman" w:hAnsi="Times New Roman"/>
                <w:b/>
                <w:bCs/>
                <w:sz w:val="24"/>
                <w:szCs w:val="24"/>
                <w:lang w:eastAsia="bg-BG"/>
              </w:rPr>
              <w:t xml:space="preserve">всеки един от </w:t>
            </w:r>
            <w:r w:rsidR="00605A76" w:rsidRPr="00605A76">
              <w:rPr>
                <w:rFonts w:ascii="Times New Roman" w:eastAsia="Times New Roman" w:hAnsi="Times New Roman"/>
                <w:b/>
                <w:bCs/>
                <w:sz w:val="24"/>
                <w:szCs w:val="24"/>
                <w:lang w:eastAsia="bg-BG"/>
              </w:rPr>
              <w:t xml:space="preserve">раздели 1, 2, 3 и 4, </w:t>
            </w:r>
            <w:r w:rsidRPr="0098788A">
              <w:rPr>
                <w:rFonts w:ascii="Times New Roman" w:eastAsia="Times New Roman" w:hAnsi="Times New Roman"/>
                <w:b/>
                <w:bCs/>
                <w:sz w:val="24"/>
                <w:szCs w:val="24"/>
                <w:lang w:eastAsia="bg-BG"/>
              </w:rPr>
              <w:t xml:space="preserve">е по-малък от </w:t>
            </w:r>
            <w:r w:rsidR="003109BD">
              <w:rPr>
                <w:rFonts w:ascii="Times New Roman" w:eastAsia="Times New Roman" w:hAnsi="Times New Roman"/>
                <w:b/>
                <w:bCs/>
                <w:sz w:val="24"/>
                <w:szCs w:val="24"/>
                <w:lang w:eastAsia="bg-BG"/>
              </w:rPr>
              <w:t>2</w:t>
            </w:r>
            <w:r w:rsidRPr="0098788A">
              <w:rPr>
                <w:rFonts w:ascii="Times New Roman" w:eastAsia="Times New Roman" w:hAnsi="Times New Roman"/>
                <w:b/>
                <w:bCs/>
                <w:sz w:val="24"/>
                <w:szCs w:val="24"/>
                <w:lang w:eastAsia="bg-BG"/>
              </w:rPr>
              <w:t>0% от максималния брой точки за съответния раздел, проектното предложение се предлага за отхвърляне.</w:t>
            </w:r>
          </w:p>
          <w:p w14:paraId="50D2FDFF" w14:textId="3D1F8EB7" w:rsidR="003109BD" w:rsidRDefault="0098788A" w:rsidP="0098788A">
            <w:p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98788A">
              <w:rPr>
                <w:rFonts w:ascii="Times New Roman" w:eastAsia="Times New Roman" w:hAnsi="Times New Roman"/>
                <w:b/>
                <w:bCs/>
                <w:sz w:val="24"/>
                <w:szCs w:val="24"/>
                <w:lang w:eastAsia="bg-BG"/>
              </w:rPr>
              <w:t xml:space="preserve">За да бъде предложено за финансиране едно проектно предложение, общата крайна оценка на етап техническа и финансова оценка трябва да е равна на или по-голяма от 60 т. </w:t>
            </w:r>
          </w:p>
          <w:p w14:paraId="4966FDE5" w14:textId="77777777" w:rsidR="002438BB" w:rsidRDefault="0098788A" w:rsidP="0098788A">
            <w:p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98788A">
              <w:rPr>
                <w:rFonts w:ascii="Times New Roman" w:eastAsia="Times New Roman" w:hAnsi="Times New Roman"/>
                <w:b/>
                <w:bCs/>
                <w:sz w:val="24"/>
                <w:szCs w:val="24"/>
                <w:lang w:eastAsia="bg-BG"/>
              </w:rPr>
              <w:t xml:space="preserve">Ако проектно предложение, получи 0 точки по някой от раздели 1, 2, 3 </w:t>
            </w:r>
            <w:r w:rsidR="00605A76">
              <w:rPr>
                <w:rFonts w:ascii="Times New Roman" w:eastAsia="Times New Roman" w:hAnsi="Times New Roman"/>
                <w:b/>
                <w:bCs/>
                <w:sz w:val="24"/>
                <w:szCs w:val="24"/>
                <w:lang w:eastAsia="bg-BG"/>
              </w:rPr>
              <w:t>и</w:t>
            </w:r>
            <w:r w:rsidR="00605A76" w:rsidRPr="0098788A">
              <w:rPr>
                <w:rFonts w:ascii="Times New Roman" w:eastAsia="Times New Roman" w:hAnsi="Times New Roman"/>
                <w:b/>
                <w:bCs/>
                <w:sz w:val="24"/>
                <w:szCs w:val="24"/>
                <w:lang w:eastAsia="bg-BG"/>
              </w:rPr>
              <w:t xml:space="preserve"> </w:t>
            </w:r>
            <w:r w:rsidRPr="0098788A">
              <w:rPr>
                <w:rFonts w:ascii="Times New Roman" w:eastAsia="Times New Roman" w:hAnsi="Times New Roman"/>
                <w:b/>
                <w:bCs/>
                <w:sz w:val="24"/>
                <w:szCs w:val="24"/>
                <w:lang w:eastAsia="bg-BG"/>
              </w:rPr>
              <w:t>4, то се предлага за отхвърляне.</w:t>
            </w:r>
          </w:p>
          <w:p w14:paraId="0F27275D" w14:textId="77777777" w:rsidR="00D00F5E" w:rsidRPr="008F724D" w:rsidRDefault="00D00F5E" w:rsidP="008F724D">
            <w:p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8F724D">
              <w:rPr>
                <w:rFonts w:ascii="Times New Roman" w:eastAsia="Times New Roman" w:hAnsi="Times New Roman"/>
                <w:b/>
                <w:bCs/>
                <w:sz w:val="24"/>
                <w:szCs w:val="24"/>
                <w:lang w:eastAsia="bg-BG"/>
              </w:rPr>
              <w:t>В случай че две или повече проектни предложения имат еднакви общи крайни оценки</w:t>
            </w:r>
            <w:r w:rsidR="002F4672" w:rsidRPr="008F724D">
              <w:rPr>
                <w:rFonts w:ascii="Times New Roman" w:eastAsia="Times New Roman" w:hAnsi="Times New Roman"/>
                <w:b/>
                <w:bCs/>
                <w:sz w:val="24"/>
                <w:szCs w:val="24"/>
                <w:lang w:eastAsia="bg-BG"/>
              </w:rPr>
              <w:t>,</w:t>
            </w:r>
            <w:r w:rsidRPr="008F724D">
              <w:rPr>
                <w:rFonts w:ascii="Times New Roman" w:eastAsia="Times New Roman" w:hAnsi="Times New Roman"/>
                <w:b/>
                <w:bCs/>
                <w:sz w:val="24"/>
                <w:szCs w:val="24"/>
                <w:lang w:eastAsia="bg-BG"/>
              </w:rPr>
              <w:t xml:space="preserve"> проектите ще бъдат подреждани в низходящ ред по следните критерии</w:t>
            </w:r>
            <w:r w:rsidR="00D827FC" w:rsidRPr="008F724D">
              <w:rPr>
                <w:rStyle w:val="FootnoteReference"/>
                <w:rFonts w:ascii="Times New Roman" w:eastAsia="Times New Roman" w:hAnsi="Times New Roman"/>
                <w:b/>
                <w:bCs/>
                <w:sz w:val="24"/>
                <w:szCs w:val="24"/>
                <w:lang w:eastAsia="bg-BG"/>
              </w:rPr>
              <w:footnoteReference w:id="13"/>
            </w:r>
            <w:r w:rsidRPr="008F724D">
              <w:rPr>
                <w:rFonts w:ascii="Times New Roman" w:eastAsia="Times New Roman" w:hAnsi="Times New Roman"/>
                <w:b/>
                <w:bCs/>
                <w:sz w:val="24"/>
                <w:szCs w:val="24"/>
                <w:lang w:eastAsia="bg-BG"/>
              </w:rPr>
              <w:t>:</w:t>
            </w:r>
          </w:p>
          <w:p w14:paraId="6C1DE736" w14:textId="77777777" w:rsidR="00D00F5E" w:rsidRPr="008F724D" w:rsidRDefault="00D00F5E"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8F724D">
              <w:rPr>
                <w:rFonts w:ascii="Times New Roman" w:eastAsia="Times New Roman" w:hAnsi="Times New Roman"/>
                <w:b/>
                <w:bCs/>
                <w:sz w:val="24"/>
                <w:szCs w:val="24"/>
                <w:lang w:eastAsia="bg-BG"/>
              </w:rPr>
              <w:t xml:space="preserve">По-високи </w:t>
            </w:r>
            <w:r w:rsidR="00630DF6" w:rsidRPr="008F724D">
              <w:rPr>
                <w:rFonts w:ascii="Times New Roman" w:eastAsia="Times New Roman" w:hAnsi="Times New Roman"/>
                <w:b/>
                <w:bCs/>
                <w:sz w:val="24"/>
                <w:szCs w:val="24"/>
                <w:lang w:eastAsia="bg-BG"/>
              </w:rPr>
              <w:t>индикатори</w:t>
            </w:r>
            <w:r w:rsidRPr="008F724D">
              <w:rPr>
                <w:rFonts w:ascii="Times New Roman" w:eastAsia="Times New Roman" w:hAnsi="Times New Roman"/>
                <w:b/>
                <w:bCs/>
                <w:sz w:val="24"/>
                <w:szCs w:val="24"/>
                <w:lang w:eastAsia="bg-BG"/>
              </w:rPr>
              <w:t xml:space="preserve"> за изпълнение и резултат;</w:t>
            </w:r>
          </w:p>
          <w:p w14:paraId="523BE6F2" w14:textId="77777777" w:rsidR="00D00F5E" w:rsidRPr="008F724D" w:rsidRDefault="00D00F5E"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8F724D">
              <w:rPr>
                <w:rFonts w:ascii="Times New Roman" w:eastAsia="Times New Roman" w:hAnsi="Times New Roman"/>
                <w:b/>
                <w:bCs/>
                <w:sz w:val="24"/>
                <w:szCs w:val="24"/>
                <w:lang w:eastAsia="bg-BG"/>
              </w:rPr>
              <w:t>Крайната оценка на раздел 3 Методика и организация;</w:t>
            </w:r>
          </w:p>
          <w:p w14:paraId="5F17B425" w14:textId="77777777" w:rsidR="00D00F5E" w:rsidRDefault="00D00F5E"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8F724D">
              <w:rPr>
                <w:rFonts w:ascii="Times New Roman" w:eastAsia="Times New Roman" w:hAnsi="Times New Roman"/>
                <w:b/>
                <w:bCs/>
                <w:sz w:val="24"/>
                <w:szCs w:val="24"/>
                <w:lang w:eastAsia="bg-BG"/>
              </w:rPr>
              <w:t>Крайната оценка на раздел 4 Бюджет.</w:t>
            </w:r>
            <w:r w:rsidR="00D827FC" w:rsidRPr="008F724D" w:rsidDel="00D827FC">
              <w:rPr>
                <w:rStyle w:val="FootnoteReference"/>
                <w:rFonts w:ascii="Times New Roman" w:eastAsia="Times New Roman" w:hAnsi="Times New Roman"/>
                <w:b/>
                <w:bCs/>
                <w:sz w:val="24"/>
                <w:szCs w:val="24"/>
                <w:lang w:eastAsia="bg-BG"/>
              </w:rPr>
              <w:t xml:space="preserve"> </w:t>
            </w:r>
          </w:p>
          <w:p w14:paraId="2B66CE4D" w14:textId="77777777" w:rsidR="001D64F9" w:rsidRDefault="001D64F9"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lastRenderedPageBreak/>
              <w:t>По висок брой на включените в проекта лица на възраст над 54 години;</w:t>
            </w:r>
          </w:p>
          <w:p w14:paraId="2205382A" w14:textId="77777777" w:rsidR="001D64F9" w:rsidRPr="008F724D" w:rsidRDefault="001D64F9"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По висок брой на включените в проекта хора с увреждания.</w:t>
            </w:r>
          </w:p>
          <w:p w14:paraId="3D487514" w14:textId="0181E905" w:rsidR="001D64F9" w:rsidRDefault="001D64F9" w:rsidP="008F724D">
            <w:pPr>
              <w:autoSpaceDE w:val="0"/>
              <w:autoSpaceDN w:val="0"/>
              <w:adjustRightInd w:val="0"/>
              <w:spacing w:after="240" w:line="240" w:lineRule="auto"/>
              <w:jc w:val="both"/>
              <w:rPr>
                <w:rFonts w:ascii="Times New Roman" w:eastAsia="Times New Roman" w:hAnsi="Times New Roman"/>
                <w:b/>
                <w:bCs/>
                <w:color w:val="000000"/>
                <w:sz w:val="23"/>
                <w:szCs w:val="23"/>
                <w:lang w:eastAsia="bg-BG"/>
              </w:rPr>
            </w:pPr>
            <w:r>
              <w:rPr>
                <w:rFonts w:ascii="Times New Roman" w:eastAsia="Times New Roman" w:hAnsi="Times New Roman"/>
                <w:b/>
                <w:bCs/>
                <w:color w:val="000000"/>
                <w:sz w:val="23"/>
                <w:szCs w:val="23"/>
                <w:lang w:eastAsia="bg-BG"/>
              </w:rPr>
              <w:t>Включването на мерки за подкрепа на лица над 54 годишна възраст, за опазване на околната среда, дейности за осигуряване на достъп на хора с увреждания, както и мерки насърчаващи съвместяването на професионлания, семейния и личния живот на служителите в рамките на дейност 1 носят допълнителни точки при оценка на проектните предложения.</w:t>
            </w:r>
          </w:p>
          <w:p w14:paraId="1FC06798" w14:textId="77777777" w:rsidR="0028135E" w:rsidRDefault="0028135E" w:rsidP="004D1ADE">
            <w:pPr>
              <w:autoSpaceDE w:val="0"/>
              <w:autoSpaceDN w:val="0"/>
              <w:adjustRightInd w:val="0"/>
              <w:spacing w:after="240" w:line="240" w:lineRule="auto"/>
              <w:jc w:val="both"/>
              <w:rPr>
                <w:rFonts w:ascii="Times New Roman" w:hAnsi="Times New Roman"/>
              </w:rPr>
            </w:pPr>
            <w:r w:rsidRPr="00E0742E">
              <w:rPr>
                <w:rFonts w:ascii="Times New Roman" w:eastAsia="Times New Roman" w:hAnsi="Times New Roman"/>
                <w:bCs/>
                <w:color w:val="000000"/>
                <w:sz w:val="23"/>
                <w:szCs w:val="23"/>
                <w:lang w:eastAsia="bg-BG"/>
              </w:rPr>
              <w:t>„Техническа и финансова оценка“ на проектните предложения се осъществява при спазване на Методологията за техническа и финансова</w:t>
            </w:r>
            <w:r w:rsidR="004D1ADE">
              <w:rPr>
                <w:rFonts w:ascii="Times New Roman" w:eastAsia="Times New Roman" w:hAnsi="Times New Roman"/>
                <w:bCs/>
                <w:color w:val="000000"/>
                <w:sz w:val="23"/>
                <w:szCs w:val="23"/>
                <w:lang w:eastAsia="bg-BG"/>
              </w:rPr>
              <w:t xml:space="preserve"> оценка на проектни предложения</w:t>
            </w:r>
            <w:r w:rsidRPr="00E0742E">
              <w:rPr>
                <w:rFonts w:ascii="Times New Roman" w:hAnsi="Times New Roman"/>
              </w:rPr>
              <w:t>.</w:t>
            </w:r>
            <w:r w:rsidR="00E0742E" w:rsidRPr="008F47B0">
              <w:rPr>
                <w:rFonts w:ascii="Times New Roman" w:hAnsi="Times New Roman"/>
                <w:lang w:val="en-US"/>
              </w:rPr>
              <w:t>(</w:t>
            </w:r>
            <w:r w:rsidR="00E0742E">
              <w:rPr>
                <w:rFonts w:ascii="Times New Roman" w:hAnsi="Times New Roman"/>
              </w:rPr>
              <w:t>Приложение за информация към настоящите Условия за кандидатстване</w:t>
            </w:r>
            <w:r w:rsidR="00E0742E" w:rsidRPr="008F47B0">
              <w:rPr>
                <w:rFonts w:ascii="Times New Roman" w:hAnsi="Times New Roman"/>
                <w:lang w:val="en-US"/>
              </w:rPr>
              <w:t>)</w:t>
            </w:r>
            <w:r w:rsidR="00E0742E">
              <w:rPr>
                <w:rFonts w:ascii="Times New Roman" w:hAnsi="Times New Roman"/>
              </w:rPr>
              <w:t>.</w:t>
            </w:r>
          </w:p>
          <w:p w14:paraId="3352F834" w14:textId="77777777" w:rsidR="00E96406" w:rsidRPr="00CE0058" w:rsidRDefault="00E96406" w:rsidP="00E96406">
            <w:pPr>
              <w:autoSpaceDE w:val="0"/>
              <w:autoSpaceDN w:val="0"/>
              <w:adjustRightInd w:val="0"/>
              <w:spacing w:after="240" w:line="240" w:lineRule="auto"/>
              <w:jc w:val="both"/>
              <w:rPr>
                <w:rFonts w:ascii="Times New Roman" w:eastAsia="Times New Roman" w:hAnsi="Times New Roman"/>
                <w:b/>
                <w:color w:val="000000"/>
                <w:sz w:val="23"/>
                <w:szCs w:val="23"/>
                <w:lang w:eastAsia="bg-BG"/>
              </w:rPr>
            </w:pPr>
            <w:r w:rsidRPr="00CE0058">
              <w:rPr>
                <w:rFonts w:ascii="Times New Roman" w:eastAsia="Times New Roman" w:hAnsi="Times New Roman"/>
                <w:b/>
                <w:color w:val="000000"/>
                <w:sz w:val="23"/>
                <w:szCs w:val="23"/>
                <w:lang w:eastAsia="bg-BG"/>
              </w:rPr>
              <w:t>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1108AF65" w14:textId="77777777" w:rsidR="00E96406" w:rsidRPr="00E96406" w:rsidRDefault="00E96406" w:rsidP="00E96406">
            <w:pPr>
              <w:autoSpaceDE w:val="0"/>
              <w:autoSpaceDN w:val="0"/>
              <w:adjustRightInd w:val="0"/>
              <w:spacing w:after="240" w:line="240" w:lineRule="auto"/>
              <w:jc w:val="both"/>
              <w:rPr>
                <w:rFonts w:ascii="Times New Roman" w:eastAsia="Times New Roman" w:hAnsi="Times New Roman"/>
                <w:color w:val="000000"/>
                <w:sz w:val="23"/>
                <w:szCs w:val="23"/>
                <w:lang w:eastAsia="bg-BG"/>
              </w:rPr>
            </w:pPr>
            <w:r w:rsidRPr="00E96406">
              <w:rPr>
                <w:rFonts w:ascii="Times New Roman" w:eastAsia="Times New Roman" w:hAnsi="Times New Roman"/>
                <w:color w:val="000000"/>
                <w:sz w:val="23"/>
                <w:szCs w:val="23"/>
                <w:lang w:eastAsia="bg-BG"/>
              </w:rPr>
              <w:t xml:space="preserve">В случай че не се постигне увереност в оценителната комисия по време на оценката, че предвидените дейности и количества, посочените разходи за тяхното осъществяване и дефинираните резултати са аргументирани и съобразени (реалистични) със заложените цели на проектното предложение, ще се изпращат комуникации чрез ИСУН 2020.  Ако не се стигне до споразумение между оценителната комисия и кандидата, същият ще бъде поканен чрез ИСУН 2020 на присъствено договаряне. От срещата ще се изготвят протоколи, подписани от всички страни, участвали в договарянето. В протоколите ще се опишат и постигнатите споразумения, които ще се отразят и станат част от проектобюджета, административния договор и формуляра за кандидатстване. </w:t>
            </w:r>
          </w:p>
          <w:p w14:paraId="153D7AA1" w14:textId="77777777" w:rsidR="00E96406" w:rsidRPr="00E0742E" w:rsidRDefault="00E96406" w:rsidP="00E96406">
            <w:pPr>
              <w:autoSpaceDE w:val="0"/>
              <w:autoSpaceDN w:val="0"/>
              <w:adjustRightInd w:val="0"/>
              <w:spacing w:after="240" w:line="240" w:lineRule="auto"/>
              <w:jc w:val="both"/>
              <w:rPr>
                <w:rFonts w:ascii="Times New Roman" w:eastAsia="Times New Roman" w:hAnsi="Times New Roman"/>
                <w:color w:val="000000"/>
                <w:sz w:val="23"/>
                <w:szCs w:val="23"/>
                <w:lang w:eastAsia="bg-BG"/>
              </w:rPr>
            </w:pPr>
            <w:r w:rsidRPr="00E96406">
              <w:rPr>
                <w:rFonts w:ascii="Times New Roman" w:eastAsia="Times New Roman" w:hAnsi="Times New Roman"/>
                <w:color w:val="000000"/>
                <w:sz w:val="23"/>
                <w:szCs w:val="23"/>
                <w:lang w:eastAsia="bg-BG"/>
              </w:rPr>
              <w:t>В присъственото договаряне задължително трябва да присъства и лицето, представляващо кандидата.  В случай че кандидатът се представлява поотделно от няколко лица, поне едно от лицата, представляващи кандидата трябва да присъства на договарянето. (приложимо за Вариант II на бюджета).</w:t>
            </w:r>
          </w:p>
        </w:tc>
      </w:tr>
    </w:tbl>
    <w:p w14:paraId="05DC3F2A" w14:textId="77777777" w:rsidR="002C08E5" w:rsidRPr="007713C1" w:rsidRDefault="00237BC8" w:rsidP="007570DC">
      <w:pPr>
        <w:pStyle w:val="Heading1"/>
      </w:pPr>
      <w:bookmarkStart w:id="42" w:name="_Toc445385611"/>
      <w:r>
        <w:lastRenderedPageBreak/>
        <w:t>20</w:t>
      </w:r>
      <w:r w:rsidR="00CD1494" w:rsidRPr="007713C1">
        <w:t>. Критерии и методика за оценка на проектните предложения:</w:t>
      </w:r>
      <w:bookmarkEnd w:id="4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C42B5" w:rsidRPr="008F724D" w14:paraId="484B9EF2" w14:textId="77777777">
        <w:tc>
          <w:tcPr>
            <w:tcW w:w="9606" w:type="dxa"/>
          </w:tcPr>
          <w:p w14:paraId="6D6FE0D5" w14:textId="77777777" w:rsidR="00E96406" w:rsidRPr="00E96406" w:rsidRDefault="00E96406" w:rsidP="00E96406">
            <w:pPr>
              <w:spacing w:before="120" w:after="120" w:line="240" w:lineRule="auto"/>
              <w:jc w:val="both"/>
              <w:rPr>
                <w:rFonts w:ascii="Times New Roman" w:eastAsia="Times New Roman" w:hAnsi="Times New Roman"/>
                <w:b/>
                <w:bCs/>
                <w:i/>
                <w:noProof/>
                <w:snapToGrid w:val="0"/>
                <w:sz w:val="24"/>
                <w:szCs w:val="24"/>
                <w:lang w:eastAsia="bg-BG"/>
              </w:rPr>
            </w:pPr>
            <w:r w:rsidRPr="00E96406">
              <w:rPr>
                <w:rFonts w:ascii="Times New Roman" w:eastAsia="Times New Roman" w:hAnsi="Times New Roman"/>
                <w:b/>
                <w:bCs/>
                <w:i/>
                <w:noProof/>
                <w:snapToGrid w:val="0"/>
                <w:sz w:val="24"/>
                <w:szCs w:val="24"/>
                <w:lang w:eastAsia="bg-BG"/>
              </w:rPr>
              <w:t>Критериите за оценка на етап АСД са подробно описани в Таблицата за оценка на административно съответствие и допустимост – Приложение за информация към настоящите Условия за кандидатстване.</w:t>
            </w:r>
          </w:p>
          <w:p w14:paraId="78113C84" w14:textId="77777777" w:rsidR="00807FAD" w:rsidRPr="008F724D" w:rsidRDefault="00E96406" w:rsidP="00E96406">
            <w:pPr>
              <w:spacing w:before="120" w:after="120" w:line="240" w:lineRule="auto"/>
              <w:jc w:val="both"/>
              <w:rPr>
                <w:rFonts w:ascii="Times New Roman" w:eastAsia="Times New Roman" w:hAnsi="Times New Roman"/>
                <w:b/>
                <w:bCs/>
                <w:i/>
                <w:noProof/>
                <w:snapToGrid w:val="0"/>
                <w:sz w:val="24"/>
                <w:szCs w:val="24"/>
                <w:lang w:eastAsia="bg-BG"/>
              </w:rPr>
            </w:pPr>
            <w:r w:rsidRPr="00E96406">
              <w:rPr>
                <w:rFonts w:ascii="Times New Roman" w:eastAsia="Times New Roman" w:hAnsi="Times New Roman"/>
                <w:b/>
                <w:bCs/>
                <w:i/>
                <w:noProof/>
                <w:snapToGrid w:val="0"/>
                <w:sz w:val="24"/>
                <w:szCs w:val="24"/>
                <w:lang w:eastAsia="bg-BG"/>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r>
              <w:rPr>
                <w:rFonts w:ascii="Times New Roman" w:eastAsia="Times New Roman" w:hAnsi="Times New Roman"/>
                <w:b/>
                <w:bCs/>
                <w:i/>
                <w:noProof/>
                <w:snapToGrid w:val="0"/>
                <w:sz w:val="24"/>
                <w:szCs w:val="24"/>
                <w:lang w:eastAsia="bg-BG"/>
              </w:rPr>
              <w:t>.</w:t>
            </w:r>
          </w:p>
        </w:tc>
      </w:tr>
    </w:tbl>
    <w:p w14:paraId="181D81A8" w14:textId="77777777" w:rsidR="0006081F" w:rsidRPr="007713C1" w:rsidRDefault="00237BC8" w:rsidP="007570DC">
      <w:pPr>
        <w:pStyle w:val="Heading1"/>
      </w:pPr>
      <w:bookmarkStart w:id="43" w:name="_Toc445385615"/>
      <w:r>
        <w:t>21</w:t>
      </w:r>
      <w:r w:rsidR="00093CB8" w:rsidRPr="007713C1">
        <w:t>. Начин на подаване на проектните предложения:</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093CB8" w:rsidRPr="008F724D" w14:paraId="1F634D7F" w14:textId="77777777">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D52D4" w:rsidRPr="008F724D" w14:paraId="1191E779" w14:textId="77777777">
              <w:tc>
                <w:tcPr>
                  <w:tcW w:w="9953" w:type="dxa"/>
                  <w:shd w:val="clear" w:color="auto" w:fill="D9E2F3"/>
                  <w:vAlign w:val="center"/>
                </w:tcPr>
                <w:p w14:paraId="3F03D868" w14:textId="77777777" w:rsidR="009D0E29" w:rsidRPr="00FD78FC" w:rsidRDefault="00551221" w:rsidP="007A48B9">
                  <w:pPr>
                    <w:spacing w:before="120" w:after="120" w:line="240" w:lineRule="auto"/>
                    <w:jc w:val="both"/>
                    <w:rPr>
                      <w:rFonts w:ascii="Times New Roman" w:eastAsia="Times New Roman" w:hAnsi="Times New Roman"/>
                      <w:snapToGrid w:val="0"/>
                      <w:color w:val="0000FF"/>
                      <w:sz w:val="24"/>
                      <w:szCs w:val="24"/>
                      <w:u w:val="single"/>
                    </w:rPr>
                  </w:pPr>
                  <w:r w:rsidRPr="007713C1">
                    <w:rPr>
                      <w:rFonts w:ascii="Times New Roman" w:eastAsia="Times New Roman" w:hAnsi="Times New Roman"/>
                      <w:snapToGrid w:val="0"/>
                      <w:sz w:val="24"/>
                      <w:szCs w:val="24"/>
                    </w:rPr>
                    <w:t>Проектните предложения по настоящата процедура за подбор на проекти, следва да бъдат подадени по електроне</w:t>
                  </w:r>
                  <w:r w:rsidR="009D0E29" w:rsidRPr="007713C1">
                    <w:rPr>
                      <w:rFonts w:ascii="Times New Roman" w:eastAsia="Times New Roman" w:hAnsi="Times New Roman"/>
                      <w:snapToGrid w:val="0"/>
                      <w:sz w:val="24"/>
                      <w:szCs w:val="24"/>
                    </w:rPr>
                    <w:t>н път</w:t>
                  </w:r>
                  <w:r w:rsidR="007A48B9">
                    <w:rPr>
                      <w:rFonts w:ascii="Times New Roman" w:eastAsia="Times New Roman" w:hAnsi="Times New Roman"/>
                      <w:snapToGrid w:val="0"/>
                      <w:sz w:val="24"/>
                      <w:szCs w:val="24"/>
                    </w:rPr>
                    <w:t xml:space="preserve"> </w:t>
                  </w:r>
                  <w:r w:rsidR="00EA66BF" w:rsidRPr="007713C1">
                    <w:rPr>
                      <w:rFonts w:ascii="Times New Roman" w:eastAsia="Times New Roman" w:hAnsi="Times New Roman"/>
                      <w:snapToGrid w:val="0"/>
                      <w:sz w:val="24"/>
                      <w:szCs w:val="24"/>
                    </w:rPr>
                    <w:t>като се използва ИСУН 2020</w:t>
                  </w:r>
                  <w:r w:rsidR="00ED52D4" w:rsidRPr="007713C1">
                    <w:rPr>
                      <w:rFonts w:ascii="Times New Roman" w:eastAsia="Times New Roman" w:hAnsi="Times New Roman"/>
                      <w:snapToGrid w:val="0"/>
                      <w:sz w:val="24"/>
                      <w:szCs w:val="24"/>
                    </w:rPr>
                    <w:t xml:space="preserve">. Интернет адресът на модула за електронно кандидатстване на ИСУН 2020 е: </w:t>
                  </w:r>
                  <w:hyperlink r:id="rId10" w:history="1">
                    <w:r w:rsidR="00ED52D4" w:rsidRPr="00AC7ED2">
                      <w:rPr>
                        <w:rFonts w:ascii="Times New Roman" w:eastAsia="Times New Roman" w:hAnsi="Times New Roman"/>
                        <w:snapToGrid w:val="0"/>
                        <w:color w:val="0000FF"/>
                        <w:sz w:val="24"/>
                        <w:szCs w:val="24"/>
                        <w:u w:val="single"/>
                      </w:rPr>
                      <w:t>http://eumis2020.government.bg/</w:t>
                    </w:r>
                  </w:hyperlink>
                  <w:r w:rsidR="009D0E29" w:rsidRPr="00AC7ED2">
                    <w:rPr>
                      <w:rFonts w:ascii="Times New Roman" w:eastAsia="Times New Roman" w:hAnsi="Times New Roman"/>
                      <w:snapToGrid w:val="0"/>
                      <w:color w:val="0000FF"/>
                      <w:sz w:val="24"/>
                      <w:szCs w:val="24"/>
                      <w:u w:val="single"/>
                    </w:rPr>
                    <w:t>, където е налично ръководство за работа със системата.</w:t>
                  </w:r>
                </w:p>
              </w:tc>
            </w:tr>
          </w:tbl>
          <w:p w14:paraId="2569D0B2"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lastRenderedPageBreak/>
              <w:t>Документите за кандидатстване следва да бъдат подадени само по електронен път.</w:t>
            </w:r>
          </w:p>
          <w:p w14:paraId="6777F7EE"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Всеки кандидат по настоящата процедура има право да участва с едно проектно предложение в настоящата процедура.</w:t>
            </w:r>
          </w:p>
          <w:p w14:paraId="006F594E"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Подаването на проектното предложение се извършва чрез попълване на уеб базиран Формуляр за кандидатстване, като проектното предложение се подписва с КЕП на лицето, овластено да представлява кандидата.</w:t>
            </w:r>
          </w:p>
          <w:p w14:paraId="4AC1B1C5"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Преди подаването на проектното предложение, Формулярът за кандидатстване задължително се подписва с КЕП с отделна сигнатура (detached) от поне едно от лицата с право да представлява кандидата или упълномощено/оправомощено лице. В случай че кандидатът се представлява заедно от няколко лица, формулярът се подписва с КЕП от всички от тях. В случай че КЕП е на упълномощено лице, към проектното предложение следва да се прикачи сканирано нотариално заверено пълномощно (в секция 12 от Формуляра).</w:t>
            </w:r>
          </w:p>
          <w:p w14:paraId="03CDA165"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p>
          <w:p w14:paraId="02B561EF"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В случай че Формулярът за кандидатстване се подава от упълномощено лице, различно от законния представител на кандидата, то в секция 12 на проекта се прилага заповед/акт за упълномощаване на лицето за подаване на проектното предложение по процедурата, както и декларация на кандидата/партньора (Приложение ІІ), попълнена и пописана и от упълномощеното лице.</w:t>
            </w:r>
          </w:p>
          <w:p w14:paraId="037AB0D2"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 xml:space="preserve">Кандидатите трябва да представят Формуляра за кандидатстване и приложенията на български език, с изключение на текстовете, за които се изисква информацията да бъде попълнена на английски език. 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14DE151A" w14:textId="77777777" w:rsidR="00E96406" w:rsidRPr="00BF0C79" w:rsidRDefault="00E96406" w:rsidP="00E96406">
            <w:pPr>
              <w:spacing w:before="120" w:after="120" w:line="240" w:lineRule="auto"/>
              <w:jc w:val="both"/>
              <w:rPr>
                <w:rFonts w:ascii="Times New Roman" w:eastAsia="Times New Roman" w:hAnsi="Times New Roman"/>
                <w:b/>
                <w:sz w:val="24"/>
                <w:szCs w:val="24"/>
                <w:lang w:eastAsia="bg-BG"/>
              </w:rPr>
            </w:pPr>
            <w:r w:rsidRPr="00BF0C79">
              <w:rPr>
                <w:rFonts w:ascii="Times New Roman" w:eastAsia="Times New Roman" w:hAnsi="Times New Roman"/>
                <w:b/>
                <w:sz w:val="24"/>
                <w:szCs w:val="24"/>
                <w:lang w:eastAsia="bg-BG"/>
              </w:rPr>
              <w:t>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информация към настоящите Указания). Моля обърнете внимание, че електронната поща, с която се регистрирате като потребител в ИСУН 2020 е асоциирана с профила на кандидата. Комуникацията (кореспонденцията)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26DC4261"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6AEB59D1"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 xml:space="preserve">На следния уеб адрес са налични видеоклипове, детайлно онагледяващи процеса на </w:t>
            </w:r>
            <w:r w:rsidRPr="00E96406">
              <w:rPr>
                <w:rFonts w:ascii="Times New Roman" w:eastAsia="Times New Roman" w:hAnsi="Times New Roman"/>
                <w:sz w:val="24"/>
                <w:szCs w:val="24"/>
                <w:lang w:eastAsia="bg-BG"/>
              </w:rPr>
              <w:lastRenderedPageBreak/>
              <w:t>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61E18F90" w14:textId="77777777" w:rsidR="00E96406" w:rsidRPr="00E96406" w:rsidRDefault="00E96406" w:rsidP="00E96406">
            <w:pPr>
              <w:pStyle w:val="ListParagraph"/>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https://www.youtube.com/watch?v=-yFYWpsnT54</w:t>
            </w:r>
          </w:p>
          <w:p w14:paraId="254D6773" w14:textId="77777777" w:rsidR="00E96406" w:rsidRPr="00E96406" w:rsidRDefault="00E96406" w:rsidP="00E96406">
            <w:pPr>
              <w:pStyle w:val="ListParagraph"/>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https://www.youtube.com/watch?v=pX7nhlxmJAI</w:t>
            </w:r>
          </w:p>
          <w:p w14:paraId="25865BFA" w14:textId="77777777" w:rsidR="00E96406" w:rsidRPr="00E96406" w:rsidRDefault="00E96406" w:rsidP="00E96406">
            <w:pPr>
              <w:pStyle w:val="ListParagraph"/>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https://www.youtube.com/watch?v=__rq_vJCi7A</w:t>
            </w:r>
          </w:p>
          <w:p w14:paraId="2E835E50"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До приключване на работата на оценителната комисия кандидатът има възможност да оттегли своето проектно предложение като подаде писмено искане до МИГ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00C5EA66"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43BDFB89"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6A677E40" w14:textId="77777777" w:rsidR="00093CB8" w:rsidRPr="008F724D" w:rsidRDefault="00E96406" w:rsidP="00E96406">
            <w:pPr>
              <w:pStyle w:val="ListParagraph"/>
              <w:spacing w:before="120" w:after="120" w:line="240" w:lineRule="auto"/>
              <w:ind w:left="0"/>
              <w:contextualSpacing w:val="0"/>
              <w:jc w:val="both"/>
              <w:rPr>
                <w:rFonts w:ascii="Times New Roman" w:eastAsia="Times New Roman" w:hAnsi="Times New Roman"/>
                <w:b/>
                <w:sz w:val="24"/>
                <w:szCs w:val="24"/>
                <w:lang w:eastAsia="bg-BG"/>
              </w:rPr>
            </w:pPr>
            <w:r w:rsidRPr="00E96406">
              <w:rPr>
                <w:rFonts w:ascii="Times New Roman" w:eastAsia="Times New Roman" w:hAnsi="Times New Roman"/>
                <w:sz w:val="24"/>
                <w:szCs w:val="24"/>
                <w:lang w:eastAsia="bg-BG"/>
              </w:rPr>
              <w:t>Следва да се има предвид обаче, че Формулярът 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14:paraId="3FA0B85C" w14:textId="77777777" w:rsidR="007F710B" w:rsidRPr="007713C1" w:rsidRDefault="00B85DDC" w:rsidP="003A2D4B">
      <w:pPr>
        <w:pStyle w:val="Heading1"/>
      </w:pPr>
      <w:bookmarkStart w:id="44" w:name="_Toc445385616"/>
      <w:r>
        <w:lastRenderedPageBreak/>
        <w:t>22</w:t>
      </w:r>
      <w:r w:rsidR="007F710B" w:rsidRPr="007713C1">
        <w:t>. Списък на документите, които се</w:t>
      </w:r>
      <w:r w:rsidR="00ED52D4" w:rsidRPr="007713C1">
        <w:t xml:space="preserve"> подават на етап кандидатстване</w:t>
      </w:r>
      <w:r w:rsidR="007F710B" w:rsidRPr="007713C1">
        <w:t>:</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06081F" w:rsidRPr="006A0AE8" w14:paraId="12F3BE7F" w14:textId="77777777">
        <w:tc>
          <w:tcPr>
            <w:tcW w:w="9496" w:type="dxa"/>
          </w:tcPr>
          <w:p w14:paraId="13CD763E"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Освен Формулярът за кандидатстване, кандидатите трябва да представят следните документи, като ги прикачат в системата ИСУН 2020:</w:t>
            </w:r>
          </w:p>
          <w:p w14:paraId="4C3DF3AD"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BF0C79">
              <w:rPr>
                <w:rFonts w:ascii="Times New Roman" w:eastAsia="Times New Roman" w:hAnsi="Times New Roman"/>
                <w:b/>
                <w:sz w:val="24"/>
                <w:szCs w:val="24"/>
                <w:lang w:eastAsia="bg-BG"/>
              </w:rPr>
              <w:t>1. Автобиография на ръководителя на проекта или на законния представител на кандидата</w:t>
            </w:r>
            <w:r w:rsidRPr="00212B26">
              <w:rPr>
                <w:rFonts w:ascii="Times New Roman" w:eastAsia="Times New Roman" w:hAnsi="Times New Roman"/>
                <w:sz w:val="24"/>
                <w:szCs w:val="24"/>
                <w:lang w:eastAsia="bg-BG"/>
              </w:rPr>
              <w:t xml:space="preserve">  (управител, прокурист и др.)/собственика на капитала на организацията - попълнена по образец </w:t>
            </w:r>
            <w:r w:rsidRPr="00BF0C79">
              <w:rPr>
                <w:rFonts w:ascii="Times New Roman" w:eastAsia="Times New Roman" w:hAnsi="Times New Roman"/>
                <w:b/>
                <w:sz w:val="24"/>
                <w:szCs w:val="24"/>
                <w:lang w:eastAsia="bg-BG"/>
              </w:rPr>
              <w:t>(Приложение І)</w:t>
            </w:r>
            <w:r w:rsidRPr="00212B26">
              <w:rPr>
                <w:rFonts w:ascii="Times New Roman" w:eastAsia="Times New Roman" w:hAnsi="Times New Roman"/>
                <w:sz w:val="24"/>
                <w:szCs w:val="24"/>
                <w:lang w:eastAsia="bg-BG"/>
              </w:rPr>
              <w:t xml:space="preserve"> към Условията за кандидатстване, сканирана и прикачена в ИСУН2020.</w:t>
            </w:r>
          </w:p>
          <w:p w14:paraId="7FBA14CD" w14:textId="1561CC2A" w:rsidR="00212B26" w:rsidRPr="00BF0C79" w:rsidRDefault="00212B26" w:rsidP="00212B26">
            <w:pPr>
              <w:spacing w:before="120" w:after="120" w:line="240" w:lineRule="auto"/>
              <w:jc w:val="both"/>
              <w:rPr>
                <w:rFonts w:ascii="Times New Roman" w:eastAsia="Times New Roman" w:hAnsi="Times New Roman"/>
                <w:b/>
                <w:sz w:val="24"/>
                <w:szCs w:val="24"/>
                <w:lang w:eastAsia="bg-BG"/>
              </w:rPr>
            </w:pPr>
            <w:r w:rsidRPr="00212B26">
              <w:rPr>
                <w:rFonts w:ascii="Times New Roman" w:eastAsia="Times New Roman" w:hAnsi="Times New Roman"/>
                <w:sz w:val="24"/>
                <w:szCs w:val="24"/>
                <w:lang w:eastAsia="bg-BG"/>
              </w:rPr>
              <w:t xml:space="preserve">2. </w:t>
            </w:r>
            <w:r w:rsidRPr="00BF0C79">
              <w:rPr>
                <w:rFonts w:ascii="Times New Roman" w:eastAsia="Times New Roman" w:hAnsi="Times New Roman"/>
                <w:b/>
                <w:sz w:val="24"/>
                <w:szCs w:val="24"/>
                <w:lang w:eastAsia="bg-BG"/>
              </w:rPr>
              <w:t>Приложение ІІ: Декларация на кандидата</w:t>
            </w:r>
            <w:r w:rsidRPr="00212B26">
              <w:rPr>
                <w:rFonts w:ascii="Times New Roman" w:eastAsia="Times New Roman" w:hAnsi="Times New Roman"/>
                <w:sz w:val="24"/>
                <w:szCs w:val="24"/>
                <w:lang w:eastAsia="bg-BG"/>
              </w:rPr>
              <w:t xml:space="preserve"> – попълнена по образец. Попълва се от всички лица, които са овластени да представляват кандидата, независимо дали гo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Pr="00BF0C79">
              <w:rPr>
                <w:rFonts w:ascii="Times New Roman" w:eastAsia="Times New Roman" w:hAnsi="Times New Roman"/>
                <w:b/>
                <w:sz w:val="24"/>
                <w:szCs w:val="24"/>
                <w:lang w:eastAsia="bg-BG"/>
              </w:rPr>
              <w:t>включително от упълномощеното за подаване на проекта лице (ако е приложимо)</w:t>
            </w:r>
            <w:r w:rsidR="004252CD" w:rsidRPr="00BF0C79">
              <w:rPr>
                <w:rFonts w:ascii="Times New Roman" w:eastAsia="Times New Roman" w:hAnsi="Times New Roman"/>
                <w:b/>
                <w:sz w:val="24"/>
                <w:szCs w:val="24"/>
                <w:lang w:eastAsia="bg-BG"/>
              </w:rPr>
              <w:t xml:space="preserve">. </w:t>
            </w:r>
          </w:p>
          <w:p w14:paraId="20BCFE53"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Декларацията/ите се подписва/т от всяко едно от лицата на хартиен носител, сканира/т се и се прикачва/т в ИСУН 2020.</w:t>
            </w:r>
          </w:p>
          <w:p w14:paraId="0D7587C1" w14:textId="2CF4DBE5"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3. </w:t>
            </w:r>
            <w:r w:rsidRPr="00BF0C79">
              <w:rPr>
                <w:rFonts w:ascii="Times New Roman" w:eastAsia="Times New Roman" w:hAnsi="Times New Roman"/>
                <w:b/>
                <w:sz w:val="24"/>
                <w:szCs w:val="24"/>
                <w:lang w:eastAsia="bg-BG"/>
              </w:rPr>
              <w:t>Приложение ІII: Декларация за минимални и държавни помощи</w:t>
            </w:r>
            <w:r w:rsidRPr="00212B26">
              <w:rPr>
                <w:rFonts w:ascii="Times New Roman" w:eastAsia="Times New Roman" w:hAnsi="Times New Roman"/>
                <w:sz w:val="24"/>
                <w:szCs w:val="24"/>
                <w:lang w:eastAsia="bg-BG"/>
              </w:rPr>
              <w:t xml:space="preserve"> – попълнена по образец, подписва се от поне едно от представляващите организацията лица, вписани като представляващи предприятието в Търговския регистър и РЮЛНЦ или определени като такива в учредителен акт, когато тези обстоятелства не подлежат на вписване, </w:t>
            </w:r>
            <w:r w:rsidRPr="00212B26">
              <w:rPr>
                <w:rFonts w:ascii="Times New Roman" w:eastAsia="Times New Roman" w:hAnsi="Times New Roman"/>
                <w:sz w:val="24"/>
                <w:szCs w:val="24"/>
                <w:lang w:eastAsia="bg-BG"/>
              </w:rPr>
              <w:lastRenderedPageBreak/>
              <w:t>сканира се и се прикачва в ИСУН 2020</w:t>
            </w:r>
            <w:r w:rsidR="00594FBB">
              <w:rPr>
                <w:rFonts w:ascii="Times New Roman" w:eastAsia="Times New Roman" w:hAnsi="Times New Roman"/>
                <w:sz w:val="24"/>
                <w:szCs w:val="24"/>
                <w:lang w:eastAsia="bg-BG"/>
              </w:rPr>
              <w:t>.</w:t>
            </w:r>
          </w:p>
          <w:p w14:paraId="70E5A32B"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4. </w:t>
            </w:r>
            <w:r w:rsidRPr="00BF0C79">
              <w:rPr>
                <w:rFonts w:ascii="Times New Roman" w:eastAsia="Times New Roman" w:hAnsi="Times New Roman"/>
                <w:b/>
                <w:sz w:val="24"/>
                <w:szCs w:val="24"/>
                <w:lang w:eastAsia="bg-BG"/>
              </w:rPr>
              <w:t>Декларация за предоставяне на данни от НСИ</w:t>
            </w:r>
            <w:r w:rsidRPr="00212B26">
              <w:rPr>
                <w:rFonts w:ascii="Times New Roman" w:eastAsia="Times New Roman" w:hAnsi="Times New Roman"/>
                <w:sz w:val="24"/>
                <w:szCs w:val="24"/>
                <w:lang w:eastAsia="bg-BG"/>
              </w:rPr>
              <w:t xml:space="preserve"> - попълнена по образец (</w:t>
            </w:r>
            <w:r w:rsidRPr="00BF0C79">
              <w:rPr>
                <w:rFonts w:ascii="Times New Roman" w:eastAsia="Times New Roman" w:hAnsi="Times New Roman"/>
                <w:b/>
                <w:sz w:val="24"/>
                <w:szCs w:val="24"/>
                <w:lang w:eastAsia="bg-BG"/>
              </w:rPr>
              <w:t>Приложение IV)</w:t>
            </w:r>
            <w:r w:rsidRPr="00212B26">
              <w:rPr>
                <w:rFonts w:ascii="Times New Roman" w:eastAsia="Times New Roman" w:hAnsi="Times New Roman"/>
                <w:sz w:val="24"/>
                <w:szCs w:val="24"/>
                <w:lang w:eastAsia="bg-BG"/>
              </w:rPr>
              <w:t xml:space="preserve"> към Условията за кандидатстване, подписва се на хартия от поне едно от представляващите организацията лица, сканира се и се прикачва в ИСУН;</w:t>
            </w:r>
          </w:p>
          <w:p w14:paraId="08C5B2DD" w14:textId="72481929" w:rsidR="00313317"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5.  </w:t>
            </w:r>
            <w:r w:rsidRPr="00BF0C79">
              <w:rPr>
                <w:rFonts w:ascii="Times New Roman" w:eastAsia="Times New Roman" w:hAnsi="Times New Roman"/>
                <w:b/>
                <w:sz w:val="24"/>
                <w:szCs w:val="24"/>
                <w:lang w:eastAsia="bg-BG"/>
              </w:rPr>
              <w:t xml:space="preserve">Счетоводен баланс </w:t>
            </w:r>
            <w:r w:rsidRPr="00212B26">
              <w:rPr>
                <w:rFonts w:ascii="Times New Roman" w:eastAsia="Times New Roman" w:hAnsi="Times New Roman"/>
                <w:sz w:val="24"/>
                <w:szCs w:val="24"/>
                <w:lang w:eastAsia="bg-BG"/>
              </w:rPr>
              <w:t xml:space="preserve">(индивидуален) - сканиран и прикачен в ИСУН 2020. </w:t>
            </w:r>
          </w:p>
          <w:p w14:paraId="79DBF9FC" w14:textId="52FA3F57" w:rsidR="00313317"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Приложимо </w:t>
            </w:r>
            <w:r w:rsidRPr="00BF0C79">
              <w:rPr>
                <w:rFonts w:ascii="Times New Roman" w:eastAsia="Times New Roman" w:hAnsi="Times New Roman"/>
                <w:b/>
                <w:sz w:val="24"/>
                <w:szCs w:val="24"/>
                <w:lang w:eastAsia="bg-BG"/>
              </w:rPr>
              <w:t>за кандидати, които са новорегистрирани/ новосъздадени организации през текущата година</w:t>
            </w:r>
            <w:r w:rsidRPr="00212B26">
              <w:rPr>
                <w:rFonts w:ascii="Times New Roman" w:eastAsia="Times New Roman" w:hAnsi="Times New Roman"/>
                <w:sz w:val="24"/>
                <w:szCs w:val="24"/>
                <w:lang w:eastAsia="bg-BG"/>
              </w:rPr>
              <w:t xml:space="preserve">. Счетоводният баланс следва да обхваща периода през които организацията е съществувала през текущата година (от датата на регистрацията до последната дата на месеца, предхождащ месеца на кандидатстване). </w:t>
            </w:r>
          </w:p>
          <w:p w14:paraId="489AAED6" w14:textId="77777777" w:rsidR="00836DF8" w:rsidRDefault="00313317" w:rsidP="00212B26">
            <w:pPr>
              <w:spacing w:before="120" w:after="120" w:line="240" w:lineRule="auto"/>
              <w:jc w:val="both"/>
              <w:rPr>
                <w:rFonts w:ascii="Times New Roman" w:eastAsia="Times New Roman" w:hAnsi="Times New Roman"/>
                <w:sz w:val="24"/>
                <w:szCs w:val="24"/>
                <w:lang w:eastAsia="bg-BG"/>
              </w:rPr>
            </w:pPr>
            <w:r w:rsidRPr="007042AC">
              <w:rPr>
                <w:rFonts w:ascii="Times New Roman" w:eastAsia="Times New Roman" w:hAnsi="Times New Roman"/>
                <w:sz w:val="24"/>
                <w:szCs w:val="24"/>
                <w:lang w:eastAsia="bg-BG"/>
              </w:rPr>
              <w:t xml:space="preserve">Приложимо за </w:t>
            </w:r>
            <w:r w:rsidRPr="007042AC">
              <w:rPr>
                <w:rFonts w:ascii="Times New Roman" w:eastAsia="Times New Roman" w:hAnsi="Times New Roman"/>
                <w:b/>
                <w:sz w:val="24"/>
                <w:szCs w:val="24"/>
                <w:lang w:eastAsia="bg-BG"/>
              </w:rPr>
              <w:t>кандидати, които не са подали към НСИ финансови отчети за предходната финансова година.</w:t>
            </w:r>
            <w:r w:rsidRPr="007042AC">
              <w:rPr>
                <w:rFonts w:ascii="Times New Roman" w:eastAsia="Times New Roman" w:hAnsi="Times New Roman"/>
                <w:sz w:val="24"/>
                <w:szCs w:val="24"/>
                <w:lang w:eastAsia="bg-BG"/>
              </w:rPr>
              <w:t xml:space="preserve"> </w:t>
            </w:r>
          </w:p>
          <w:p w14:paraId="285CB081" w14:textId="5CA1DCA6" w:rsidR="00313317" w:rsidRDefault="00313317" w:rsidP="00212B26">
            <w:pPr>
              <w:spacing w:before="120" w:after="120" w:line="240" w:lineRule="auto"/>
              <w:jc w:val="both"/>
              <w:rPr>
                <w:rFonts w:ascii="Times New Roman" w:eastAsia="Times New Roman" w:hAnsi="Times New Roman"/>
                <w:sz w:val="24"/>
                <w:szCs w:val="24"/>
                <w:lang w:eastAsia="bg-BG"/>
              </w:rPr>
            </w:pPr>
            <w:r w:rsidRPr="007042AC">
              <w:rPr>
                <w:rFonts w:ascii="Times New Roman" w:eastAsia="Times New Roman" w:hAnsi="Times New Roman"/>
                <w:sz w:val="24"/>
                <w:szCs w:val="24"/>
                <w:lang w:eastAsia="bg-BG"/>
              </w:rPr>
              <w:t>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p>
          <w:p w14:paraId="34B1A155" w14:textId="046FA821"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Финансовите отчети трябва да отговарят на изискванията на чл. 25 от Закона за счетоводството. </w:t>
            </w:r>
          </w:p>
          <w:p w14:paraId="5FE46458"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6. </w:t>
            </w:r>
            <w:r w:rsidRPr="00BF0C79">
              <w:rPr>
                <w:rFonts w:ascii="Times New Roman" w:eastAsia="Times New Roman" w:hAnsi="Times New Roman"/>
                <w:b/>
                <w:sz w:val="24"/>
                <w:szCs w:val="24"/>
                <w:lang w:eastAsia="bg-BG"/>
              </w:rPr>
              <w:t>Когато кандидатът е предвидил по проекта дейност „Осигуряване на безопасни и здравословни условия на труд, подобряване професионалния и здравния статус на работниците и служителите“</w:t>
            </w:r>
            <w:r w:rsidRPr="00212B26">
              <w:rPr>
                <w:rFonts w:ascii="Times New Roman" w:eastAsia="Times New Roman" w:hAnsi="Times New Roman"/>
                <w:sz w:val="24"/>
                <w:szCs w:val="24"/>
                <w:lang w:eastAsia="bg-BG"/>
              </w:rPr>
              <w:t>, той трябва да представи:</w:t>
            </w:r>
          </w:p>
          <w:p w14:paraId="57EA7556"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6.1. </w:t>
            </w:r>
            <w:r w:rsidRPr="00BF0C79">
              <w:rPr>
                <w:rFonts w:ascii="Times New Roman" w:eastAsia="Times New Roman" w:hAnsi="Times New Roman"/>
                <w:b/>
                <w:sz w:val="24"/>
                <w:szCs w:val="24"/>
                <w:lang w:eastAsia="bg-BG"/>
              </w:rPr>
              <w:t>Утвърдена програма за минимизиране на риска</w:t>
            </w:r>
            <w:r w:rsidRPr="00212B26">
              <w:rPr>
                <w:rFonts w:ascii="Times New Roman" w:eastAsia="Times New Roman" w:hAnsi="Times New Roman"/>
                <w:sz w:val="24"/>
                <w:szCs w:val="24"/>
                <w:lang w:eastAsia="bg-BG"/>
              </w:rPr>
              <w:t>, в случай, че по проекта е предвидено изпълнението на поддейност 3.1. „Осигуряване на средства за колективна защита, включително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 -  подписва се от поне едно от представляващите организацията лица, сканира се и се прикачва в ИСУН;</w:t>
            </w:r>
          </w:p>
          <w:p w14:paraId="58A43743"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6.2. </w:t>
            </w:r>
            <w:r w:rsidRPr="00BF0C79">
              <w:rPr>
                <w:rFonts w:ascii="Times New Roman" w:eastAsia="Times New Roman" w:hAnsi="Times New Roman"/>
                <w:b/>
                <w:sz w:val="24"/>
                <w:szCs w:val="24"/>
                <w:lang w:eastAsia="bg-BG"/>
              </w:rPr>
              <w:t>Утвърден списък на работните места и видовете работа, при които се използват ЛПС</w:t>
            </w:r>
            <w:r w:rsidRPr="00212B26">
              <w:rPr>
                <w:rFonts w:ascii="Times New Roman" w:eastAsia="Times New Roman" w:hAnsi="Times New Roman"/>
                <w:sz w:val="24"/>
                <w:szCs w:val="24"/>
                <w:lang w:eastAsia="bg-BG"/>
              </w:rPr>
              <w:t xml:space="preserve"> за безопасност и здраве при работа, съгласно разпоредбите на чл. 17 от Наредба № 3 от 19 април 2001 г. за минималните изисквания за безопасност и опазване на здравето на работещите при използване на ЛПС на работното място, в случай че по проекта се предвижда закупуването на ЛПС – подписва се от поне едно от представляващите организацията лица, сканира се и се прикачва в ИСУН.</w:t>
            </w:r>
          </w:p>
          <w:p w14:paraId="2EE8E912" w14:textId="3CD705CB"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7. </w:t>
            </w:r>
            <w:r w:rsidRPr="00BF0C79">
              <w:rPr>
                <w:rFonts w:ascii="Times New Roman" w:eastAsia="Times New Roman" w:hAnsi="Times New Roman"/>
                <w:b/>
                <w:sz w:val="24"/>
                <w:szCs w:val="24"/>
                <w:lang w:eastAsia="bg-BG"/>
              </w:rPr>
              <w:t>Нотариално заверено пълномощно</w:t>
            </w:r>
            <w:r w:rsidRPr="00212B26">
              <w:rPr>
                <w:rFonts w:ascii="Times New Roman" w:eastAsia="Times New Roman" w:hAnsi="Times New Roman"/>
                <w:sz w:val="24"/>
                <w:szCs w:val="24"/>
                <w:lang w:eastAsia="bg-BG"/>
              </w:rPr>
              <w:t xml:space="preserve"> за упълномощаване на лице, представляващо кандидата във връзка с подаване на проектното предложение и подписване на формуляра (ако е приложимо) -  сканирано и прикачено в ИСУН 2020. В този случай се прилага и декларация на кандидата (Приложение ІІ), попълнена и пописана и от упълномощеното лице.</w:t>
            </w:r>
          </w:p>
          <w:p w14:paraId="38422850"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8. </w:t>
            </w:r>
            <w:r w:rsidRPr="00BF0C79">
              <w:rPr>
                <w:rFonts w:ascii="Times New Roman" w:eastAsia="Times New Roman" w:hAnsi="Times New Roman"/>
                <w:b/>
                <w:sz w:val="24"/>
                <w:szCs w:val="24"/>
                <w:lang w:eastAsia="bg-BG"/>
              </w:rPr>
              <w:t>Проектобюджет (Приложение VII)</w:t>
            </w:r>
            <w:r w:rsidRPr="00212B26">
              <w:rPr>
                <w:rFonts w:ascii="Times New Roman" w:eastAsia="Times New Roman" w:hAnsi="Times New Roman"/>
                <w:sz w:val="24"/>
                <w:szCs w:val="24"/>
                <w:lang w:eastAsia="bg-BG"/>
              </w:rPr>
              <w:t xml:space="preserve"> с приложени към него план-сметки за отделните дейности.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7D58E243"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9. </w:t>
            </w:r>
            <w:r w:rsidRPr="00BF0C79">
              <w:rPr>
                <w:rFonts w:ascii="Times New Roman" w:eastAsia="Times New Roman" w:hAnsi="Times New Roman"/>
                <w:b/>
                <w:sz w:val="24"/>
                <w:szCs w:val="24"/>
                <w:lang w:eastAsia="bg-BG"/>
              </w:rPr>
              <w:t>Документи, доказващи стойността на заложените разходи в проeктобюджета</w:t>
            </w:r>
            <w:r w:rsidRPr="00212B26">
              <w:rPr>
                <w:rFonts w:ascii="Times New Roman" w:eastAsia="Times New Roman" w:hAnsi="Times New Roman"/>
                <w:sz w:val="24"/>
                <w:szCs w:val="24"/>
                <w:lang w:eastAsia="bg-BG"/>
              </w:rPr>
              <w:t xml:space="preserve"> (оферти, информация от интернет и др.).  Приложимо само за проекти, за които се прилага опростено отчитане на разходите чрез определяне на  еднократни суми за </w:t>
            </w:r>
            <w:r w:rsidRPr="00212B26">
              <w:rPr>
                <w:rFonts w:ascii="Times New Roman" w:eastAsia="Times New Roman" w:hAnsi="Times New Roman"/>
                <w:sz w:val="24"/>
                <w:szCs w:val="24"/>
                <w:lang w:eastAsia="bg-BG"/>
              </w:rPr>
              <w:lastRenderedPageBreak/>
              <w:t>отделните видове разходи, съгласно чл. 67, (1), т. (в) от Регламент 1303/2013 г.</w:t>
            </w:r>
          </w:p>
          <w:p w14:paraId="55ED11F5"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В случай че кандидатът не е представил някой от посочените документи или ги е представил, но не са в изискуемата форма, същите могат да бъдат изискани допълнително от oценителната комисия  като за целта ще бъде определен срок за предоставянето им, не по-кратък от една седмица.</w:t>
            </w:r>
          </w:p>
          <w:p w14:paraId="02D6DA52"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22 от Условията за кандидатстване.</w:t>
            </w:r>
          </w:p>
          <w:p w14:paraId="07822800"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14:paraId="274541EC"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Формуляра за кандидатстване, които са били отворени (ако е приложимо) с цел отговор на въпрос от оценителната комисия и кандидатът не може да извършва каквито и да било действия освен „Преглед“. Неотстраняването на нередовностите в срок може да доведе до прекратяване на производството по отношение на кандидата или съответно да получи по-малък брой точки на етап техническа и финансова оценка. Всяка информация, предоставена извън официално изисканата от оценителната 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p>
          <w:p w14:paraId="19390096" w14:textId="77777777" w:rsidR="00212B26" w:rsidRPr="00390DF0" w:rsidRDefault="00212B26" w:rsidP="00212B26">
            <w:pPr>
              <w:spacing w:before="120" w:after="120" w:line="240" w:lineRule="auto"/>
              <w:jc w:val="both"/>
              <w:rPr>
                <w:rFonts w:ascii="Times New Roman" w:eastAsia="Times New Roman" w:hAnsi="Times New Roman"/>
                <w:b/>
                <w:sz w:val="24"/>
                <w:szCs w:val="24"/>
                <w:lang w:eastAsia="bg-BG"/>
              </w:rPr>
            </w:pPr>
            <w:r w:rsidRPr="00390DF0">
              <w:rPr>
                <w:rFonts w:ascii="Times New Roman" w:eastAsia="Times New Roman" w:hAnsi="Times New Roman"/>
                <w:b/>
                <w:sz w:val="24"/>
                <w:szCs w:val="24"/>
                <w:lang w:eastAsia="bg-BG"/>
              </w:rPr>
              <w:t>Кандидатите следва редовно да проверяват профила си в ИСУН, тъй като чрез него оценителната комисия осъществява комуникацията си с тях!</w:t>
            </w:r>
          </w:p>
          <w:p w14:paraId="3AD8319A" w14:textId="77777777" w:rsidR="0006081F" w:rsidRPr="008F724D" w:rsidRDefault="00212B26" w:rsidP="00212B26">
            <w:pPr>
              <w:spacing w:before="120" w:after="120" w:line="240" w:lineRule="auto"/>
              <w:jc w:val="both"/>
              <w:rPr>
                <w:rFonts w:ascii="Times New Roman" w:eastAsia="Times New Roman" w:hAnsi="Times New Roman"/>
                <w:sz w:val="20"/>
                <w:szCs w:val="20"/>
                <w:lang w:eastAsia="bg-BG"/>
              </w:rPr>
            </w:pPr>
            <w:r w:rsidRPr="00212B26">
              <w:rPr>
                <w:rFonts w:ascii="Times New Roman" w:eastAsia="Times New Roman" w:hAnsi="Times New Roman"/>
                <w:sz w:val="24"/>
                <w:szCs w:val="24"/>
                <w:lang w:eastAsia="bg-BG"/>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2BDFCC54" w14:textId="77777777" w:rsidR="0006081F" w:rsidRPr="007713C1" w:rsidRDefault="00CD534E" w:rsidP="003A2D4B">
      <w:pPr>
        <w:pStyle w:val="Heading1"/>
      </w:pPr>
      <w:bookmarkStart w:id="45" w:name="_Toc445385617"/>
      <w:r>
        <w:lastRenderedPageBreak/>
        <w:t>23</w:t>
      </w:r>
      <w:r w:rsidR="0006081F" w:rsidRPr="007713C1">
        <w:t xml:space="preserve">. </w:t>
      </w:r>
      <w:r w:rsidR="00AC7ED2">
        <w:t>Срокове</w:t>
      </w:r>
      <w:r w:rsidR="0006081F" w:rsidRPr="007713C1">
        <w:t xml:space="preserve"> за подаване н</w:t>
      </w:r>
      <w:r w:rsidR="00D5601D" w:rsidRPr="007713C1">
        <w:t>а проектните предложения</w:t>
      </w:r>
      <w:r w:rsidR="0006081F" w:rsidRPr="007713C1">
        <w:t>:</w:t>
      </w:r>
      <w:bookmarkEnd w:id="45"/>
    </w:p>
    <w:p w14:paraId="43AE8337" w14:textId="0721E1CC" w:rsidR="00B75AF6" w:rsidRPr="00390DF0" w:rsidRDefault="00B75AF6" w:rsidP="00B75AF6">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imes New Roman" w:hAnsi="Times New Roman"/>
          <w:b/>
          <w:sz w:val="24"/>
          <w:szCs w:val="24"/>
        </w:rPr>
      </w:pPr>
      <w:r w:rsidRPr="00390DF0">
        <w:rPr>
          <w:rFonts w:ascii="Times New Roman" w:hAnsi="Times New Roman"/>
          <w:b/>
          <w:sz w:val="24"/>
          <w:szCs w:val="24"/>
        </w:rPr>
        <w:t xml:space="preserve">Краен срок за представяне на предложенията: </w:t>
      </w:r>
      <w:r w:rsidR="006B5F55">
        <w:rPr>
          <w:rFonts w:ascii="Times New Roman" w:hAnsi="Times New Roman"/>
          <w:b/>
          <w:sz w:val="24"/>
          <w:szCs w:val="24"/>
          <w:lang w:val="en-US"/>
        </w:rPr>
        <w:t>07</w:t>
      </w:r>
      <w:r w:rsidR="00A61EEB" w:rsidRPr="00390DF0">
        <w:rPr>
          <w:rFonts w:ascii="Times New Roman" w:hAnsi="Times New Roman"/>
          <w:b/>
          <w:sz w:val="24"/>
          <w:szCs w:val="24"/>
        </w:rPr>
        <w:t>.1</w:t>
      </w:r>
      <w:r w:rsidR="006B5F55">
        <w:rPr>
          <w:rFonts w:ascii="Times New Roman" w:hAnsi="Times New Roman"/>
          <w:b/>
          <w:sz w:val="24"/>
          <w:szCs w:val="24"/>
          <w:lang w:val="en-US"/>
        </w:rPr>
        <w:t>2</w:t>
      </w:r>
      <w:r w:rsidR="00A61EEB" w:rsidRPr="00390DF0">
        <w:rPr>
          <w:rFonts w:ascii="Times New Roman" w:hAnsi="Times New Roman"/>
          <w:b/>
          <w:sz w:val="24"/>
          <w:szCs w:val="24"/>
        </w:rPr>
        <w:t>.</w:t>
      </w:r>
      <w:r w:rsidRPr="00390DF0">
        <w:rPr>
          <w:rFonts w:ascii="Times New Roman" w:hAnsi="Times New Roman"/>
          <w:b/>
          <w:sz w:val="24"/>
          <w:szCs w:val="24"/>
        </w:rPr>
        <w:t>20</w:t>
      </w:r>
      <w:r w:rsidR="00A61EEB" w:rsidRPr="00390DF0">
        <w:rPr>
          <w:rFonts w:ascii="Times New Roman" w:hAnsi="Times New Roman"/>
          <w:b/>
          <w:sz w:val="24"/>
          <w:szCs w:val="24"/>
        </w:rPr>
        <w:t>20</w:t>
      </w:r>
      <w:r w:rsidRPr="00390DF0">
        <w:rPr>
          <w:rFonts w:ascii="Times New Roman" w:hAnsi="Times New Roman"/>
          <w:b/>
          <w:sz w:val="24"/>
          <w:szCs w:val="24"/>
        </w:rPr>
        <w:t xml:space="preserve"> г., час: </w:t>
      </w:r>
      <w:r w:rsidR="00B07456" w:rsidRPr="00390DF0">
        <w:rPr>
          <w:rFonts w:ascii="Times New Roman" w:hAnsi="Times New Roman"/>
          <w:b/>
          <w:sz w:val="24"/>
          <w:szCs w:val="24"/>
          <w:lang w:val="en-US"/>
        </w:rPr>
        <w:t>1</w:t>
      </w:r>
      <w:r w:rsidR="00A61EEB" w:rsidRPr="00390DF0">
        <w:rPr>
          <w:rFonts w:ascii="Times New Roman" w:hAnsi="Times New Roman"/>
          <w:b/>
          <w:sz w:val="24"/>
          <w:szCs w:val="24"/>
        </w:rPr>
        <w:t>7</w:t>
      </w:r>
      <w:r w:rsidR="00B07456" w:rsidRPr="00390DF0">
        <w:rPr>
          <w:rFonts w:ascii="Times New Roman" w:hAnsi="Times New Roman"/>
          <w:b/>
          <w:sz w:val="24"/>
          <w:szCs w:val="24"/>
        </w:rPr>
        <w:t xml:space="preserve">.00 </w:t>
      </w:r>
      <w:r w:rsidRPr="00390DF0">
        <w:rPr>
          <w:rFonts w:ascii="Times New Roman" w:hAnsi="Times New Roman"/>
          <w:b/>
          <w:sz w:val="24"/>
          <w:szCs w:val="24"/>
        </w:rPr>
        <w:t xml:space="preserve"> часа. </w:t>
      </w:r>
    </w:p>
    <w:p w14:paraId="18ECA083" w14:textId="77777777" w:rsidR="0063166B" w:rsidRDefault="007E74AF" w:rsidP="00B75AF6">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imes New Roman" w:hAnsi="Times New Roman"/>
          <w:sz w:val="24"/>
          <w:szCs w:val="24"/>
        </w:rPr>
      </w:pPr>
      <w:r w:rsidRPr="007713C1">
        <w:rPr>
          <w:rFonts w:ascii="Times New Roman" w:hAnsi="Times New Roman"/>
          <w:sz w:val="24"/>
          <w:szCs w:val="24"/>
        </w:rPr>
        <w:t xml:space="preserve">Всяко </w:t>
      </w:r>
      <w:r w:rsidR="00CD534E">
        <w:rPr>
          <w:rFonts w:ascii="Times New Roman" w:hAnsi="Times New Roman"/>
          <w:sz w:val="24"/>
          <w:szCs w:val="24"/>
        </w:rPr>
        <w:t>проектно предложение</w:t>
      </w:r>
      <w:r w:rsidRPr="007713C1">
        <w:rPr>
          <w:rFonts w:ascii="Times New Roman" w:hAnsi="Times New Roman"/>
          <w:sz w:val="24"/>
          <w:szCs w:val="24"/>
        </w:rPr>
        <w:t>, което е подадено след крайния срок, ще бъде отхвърлено и няма да бъде разглеждано по настоящата покана.</w:t>
      </w:r>
    </w:p>
    <w:p w14:paraId="48D678A9" w14:textId="77777777" w:rsidR="00A61EEB" w:rsidRPr="007713C1" w:rsidRDefault="00A61EEB" w:rsidP="00B75AF6">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imes New Roman" w:hAnsi="Times New Roman"/>
          <w:sz w:val="24"/>
          <w:szCs w:val="24"/>
        </w:rPr>
      </w:pPr>
      <w:r w:rsidRPr="00A61EEB">
        <w:rPr>
          <w:rFonts w:ascii="Times New Roman" w:hAnsi="Times New Roman"/>
          <w:sz w:val="24"/>
          <w:szCs w:val="24"/>
        </w:rPr>
        <w:t>В съответствие с чл. 44, ал. 1 от ПМС 161/2016 г. оценяването на проектно/и предложение/я се извършва в срок до един месец от изтичане на крайния срок за кандидатстване.</w:t>
      </w:r>
    </w:p>
    <w:p w14:paraId="66DFD8A3" w14:textId="77777777" w:rsidR="00F63260" w:rsidRDefault="00EE474B" w:rsidP="003A2D4B">
      <w:pPr>
        <w:pStyle w:val="Heading1"/>
      </w:pPr>
      <w:bookmarkStart w:id="46" w:name="_Toc445385619"/>
      <w:r>
        <w:lastRenderedPageBreak/>
        <w:t>24</w:t>
      </w:r>
      <w:r w:rsidR="00C57CC3" w:rsidRPr="007713C1">
        <w:t xml:space="preserve">. </w:t>
      </w:r>
      <w:r w:rsidR="00F63260" w:rsidRPr="007713C1">
        <w:t>Допълнителни изисквания:</w:t>
      </w:r>
      <w:bookmarkEnd w:id="46"/>
    </w:p>
    <w:p w14:paraId="3486DEF9" w14:textId="77777777" w:rsidR="00C57CC3" w:rsidRPr="007713C1" w:rsidRDefault="00EE474B" w:rsidP="003A2D4B">
      <w:pPr>
        <w:pStyle w:val="Heading2"/>
      </w:pPr>
      <w:bookmarkStart w:id="47" w:name="_Toc445385620"/>
      <w:r>
        <w:t>24</w:t>
      </w:r>
      <w:r w:rsidR="00F63260" w:rsidRPr="007713C1">
        <w:t xml:space="preserve">.1. </w:t>
      </w:r>
      <w:r w:rsidR="00C57CC3" w:rsidRPr="007713C1">
        <w:t>Изпълнители:</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7CC3" w:rsidRPr="008F724D" w14:paraId="5618731C" w14:textId="77777777">
        <w:tc>
          <w:tcPr>
            <w:tcW w:w="9496" w:type="dxa"/>
          </w:tcPr>
          <w:p w14:paraId="3524D6AA" w14:textId="77777777" w:rsidR="00BF7486" w:rsidRPr="008F724D" w:rsidRDefault="00BF7486" w:rsidP="008F724D">
            <w:pPr>
              <w:spacing w:after="120" w:line="240" w:lineRule="auto"/>
              <w:jc w:val="both"/>
              <w:outlineLvl w:val="0"/>
              <w:rPr>
                <w:rFonts w:ascii="Times New Roman" w:eastAsia="Times New Roman" w:hAnsi="Times New Roman"/>
                <w:sz w:val="24"/>
                <w:szCs w:val="24"/>
                <w:lang w:eastAsia="bg-BG"/>
              </w:rPr>
            </w:pPr>
            <w:bookmarkStart w:id="48" w:name="_Toc445385367"/>
            <w:bookmarkStart w:id="49" w:name="_Toc445385621"/>
            <w:r w:rsidRPr="008F724D">
              <w:rPr>
                <w:rFonts w:ascii="Times New Roman" w:eastAsia="Times New Roman" w:hAnsi="Times New Roman"/>
                <w:sz w:val="24"/>
                <w:szCs w:val="24"/>
                <w:lang w:eastAsia="bg-BG"/>
              </w:rPr>
              <w:t>Кандидатът има възможност да възлага изпълнението на дейности на изпълнители. Изпълнителите са обект на избор по реда на глава</w:t>
            </w:r>
            <w:r w:rsidR="008345B9" w:rsidRPr="008F724D">
              <w:rPr>
                <w:rFonts w:ascii="Times New Roman" w:eastAsia="Times New Roman" w:hAnsi="Times New Roman"/>
                <w:sz w:val="24"/>
                <w:szCs w:val="24"/>
                <w:lang w:eastAsia="bg-BG"/>
              </w:rPr>
              <w:t xml:space="preserve"> четвърта от ЗУСЕСИФ и ПМС № 160/01.07.2016</w:t>
            </w:r>
            <w:r w:rsidRPr="008F724D">
              <w:rPr>
                <w:rFonts w:ascii="Times New Roman" w:eastAsia="Times New Roman" w:hAnsi="Times New Roman"/>
                <w:sz w:val="24"/>
                <w:szCs w:val="24"/>
                <w:lang w:eastAsia="bg-BG"/>
              </w:rPr>
              <w:t xml:space="preserve"> г. или ЗОП, в зависимост от това дали кандидатът се явява възложител по реда на ЗОП или не.</w:t>
            </w:r>
          </w:p>
          <w:p w14:paraId="614C1A49" w14:textId="77777777" w:rsidR="00BF7486" w:rsidRDefault="00BF7486" w:rsidP="008F724D">
            <w:pPr>
              <w:spacing w:after="120" w:line="240" w:lineRule="auto"/>
              <w:jc w:val="both"/>
              <w:outlineLvl w:val="0"/>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Изпълнителите трябва да притежават необходимата професионална компетентност и квалификация за извършване на възложената им дейност.</w:t>
            </w:r>
            <w:r w:rsidR="00FB32F5">
              <w:rPr>
                <w:rFonts w:ascii="Times New Roman" w:eastAsia="Times New Roman" w:hAnsi="Times New Roman"/>
                <w:sz w:val="24"/>
                <w:szCs w:val="24"/>
                <w:lang w:eastAsia="bg-BG"/>
              </w:rPr>
              <w:t xml:space="preserve"> </w:t>
            </w:r>
          </w:p>
          <w:p w14:paraId="3F995D41" w14:textId="77777777" w:rsidR="005D53A6" w:rsidRPr="005D53A6" w:rsidRDefault="005D53A6" w:rsidP="00E350F8">
            <w:pPr>
              <w:spacing w:after="120" w:line="240" w:lineRule="auto"/>
              <w:jc w:val="both"/>
              <w:outlineLvl w:val="0"/>
              <w:rPr>
                <w:rFonts w:ascii="Times New Roman" w:eastAsia="Times New Roman" w:hAnsi="Times New Roman"/>
                <w:sz w:val="24"/>
                <w:szCs w:val="24"/>
                <w:lang w:eastAsia="bg-BG"/>
              </w:rPr>
            </w:pPr>
            <w:r w:rsidRPr="005D53A6">
              <w:rPr>
                <w:rFonts w:ascii="Times New Roman" w:hAnsi="Times New Roman"/>
                <w:b/>
                <w:bCs/>
                <w:sz w:val="24"/>
                <w:szCs w:val="24"/>
              </w:rPr>
              <w:t xml:space="preserve">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 </w:t>
            </w:r>
          </w:p>
          <w:bookmarkEnd w:id="48"/>
          <w:bookmarkEnd w:id="49"/>
          <w:p w14:paraId="799B4E51" w14:textId="77777777" w:rsidR="00C57CC3" w:rsidRPr="008F724D" w:rsidRDefault="00C57CC3" w:rsidP="004058DB">
            <w:pPr>
              <w:spacing w:after="120" w:line="240" w:lineRule="auto"/>
              <w:jc w:val="both"/>
              <w:outlineLvl w:val="0"/>
              <w:rPr>
                <w:rFonts w:ascii="Times New Roman" w:eastAsia="Times New Roman" w:hAnsi="Times New Roman"/>
                <w:sz w:val="20"/>
                <w:szCs w:val="20"/>
                <w:highlight w:val="yellow"/>
                <w:lang w:eastAsia="bg-BG"/>
              </w:rPr>
            </w:pPr>
          </w:p>
        </w:tc>
      </w:tr>
    </w:tbl>
    <w:p w14:paraId="0304D26A" w14:textId="77777777" w:rsidR="00F63260" w:rsidRPr="007713C1" w:rsidRDefault="00F63260" w:rsidP="003A2D4B">
      <w:pPr>
        <w:pStyle w:val="Heading2"/>
      </w:pPr>
      <w:bookmarkStart w:id="50" w:name="_Toc445385627"/>
      <w:r w:rsidRPr="007713C1">
        <w:t>2</w:t>
      </w:r>
      <w:r w:rsidR="00EE474B">
        <w:t>4</w:t>
      </w:r>
      <w:r w:rsidRPr="007713C1">
        <w:t>.2. Устойчивост на резултатите:</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F63260" w:rsidRPr="008F724D" w14:paraId="5E1267F6" w14:textId="77777777">
        <w:tc>
          <w:tcPr>
            <w:tcW w:w="9496" w:type="dxa"/>
          </w:tcPr>
          <w:p w14:paraId="6B08ECCB" w14:textId="77777777" w:rsidR="00557A77" w:rsidRPr="00557A77" w:rsidRDefault="00557A77" w:rsidP="00557A77">
            <w:pPr>
              <w:pStyle w:val="Default"/>
              <w:jc w:val="both"/>
            </w:pPr>
            <w:r w:rsidRPr="00557A77">
              <w:t>Кандидатът се задължава да запази заетостта на поне 50% от пре</w:t>
            </w:r>
            <w:r w:rsidR="00670B6B">
              <w:t>дставителите на целевата група</w:t>
            </w:r>
            <w:r w:rsidR="00670B6B">
              <w:rPr>
                <w:rStyle w:val="FootnoteReference"/>
              </w:rPr>
              <w:footnoteReference w:id="14"/>
            </w:r>
            <w:r w:rsidRPr="00557A77">
              <w:t xml:space="preserve">, включени в проекта за период от 6 месеца след приключване на дейностите по проекта. Запазването на свободни работни места няма да се счита за спазване на поставеното изискване. </w:t>
            </w:r>
          </w:p>
          <w:p w14:paraId="5071221B" w14:textId="77777777" w:rsidR="00557A77" w:rsidRPr="00557A77" w:rsidRDefault="00557A77" w:rsidP="00557A77">
            <w:pPr>
              <w:pStyle w:val="Default"/>
              <w:jc w:val="both"/>
            </w:pPr>
            <w:r w:rsidRPr="00557A77">
              <w:t xml:space="preserve">След приключване на проекта бенефициентът е длъжен да запази предназначението на ремонтираните помещения за срок не по-кратък от </w:t>
            </w:r>
            <w:r w:rsidR="00AC4AD1">
              <w:t>3</w:t>
            </w:r>
            <w:r w:rsidR="00AC4AD1" w:rsidRPr="00557A77">
              <w:t xml:space="preserve"> </w:t>
            </w:r>
            <w:r w:rsidRPr="00557A77">
              <w:t xml:space="preserve">години от датата на одобрение на окончателния доклад без прекъсване, с изключение на непредвидени обстоятелства. В случай на възникване на непредвидени обстоятелства срокът спира и продължава да тече след отпадането им. </w:t>
            </w:r>
          </w:p>
          <w:p w14:paraId="1F36480B" w14:textId="77777777" w:rsidR="00557A77" w:rsidRDefault="00557A77" w:rsidP="00557A77">
            <w:pPr>
              <w:pStyle w:val="Text1"/>
              <w:spacing w:before="120" w:after="120"/>
              <w:ind w:left="0"/>
              <w:outlineLvl w:val="0"/>
              <w:rPr>
                <w:i/>
                <w:lang w:val="bg-BG" w:eastAsia="bg-BG"/>
              </w:rPr>
            </w:pPr>
            <w:r w:rsidRPr="008F47B0">
              <w:rPr>
                <w:szCs w:val="24"/>
              </w:rPr>
              <w:t>Тези задължения са уредени в договорните отношения между УО и одобрените кандидати</w:t>
            </w:r>
            <w:r w:rsidRPr="008F47B0">
              <w:rPr>
                <w:sz w:val="23"/>
                <w:szCs w:val="23"/>
              </w:rPr>
              <w:t xml:space="preserve">. </w:t>
            </w:r>
          </w:p>
          <w:p w14:paraId="0076867F" w14:textId="77777777" w:rsidR="00557A77" w:rsidRPr="008F724D" w:rsidRDefault="00557A77" w:rsidP="008F724D">
            <w:pPr>
              <w:pStyle w:val="Text1"/>
              <w:spacing w:before="120" w:after="120"/>
              <w:ind w:left="0"/>
              <w:jc w:val="left"/>
              <w:outlineLvl w:val="0"/>
              <w:rPr>
                <w:b/>
                <w:sz w:val="20"/>
                <w:lang w:val="bg-BG" w:eastAsia="bg-BG"/>
              </w:rPr>
            </w:pPr>
          </w:p>
        </w:tc>
      </w:tr>
    </w:tbl>
    <w:p w14:paraId="032B408F" w14:textId="77777777" w:rsidR="00C57CC3" w:rsidRPr="007713C1" w:rsidRDefault="00F63260" w:rsidP="003A2D4B">
      <w:pPr>
        <w:pStyle w:val="Heading2"/>
      </w:pPr>
      <w:bookmarkStart w:id="51" w:name="_Toc445385629"/>
      <w:r w:rsidRPr="007713C1">
        <w:t>2</w:t>
      </w:r>
      <w:r w:rsidR="003B2B99">
        <w:t>4</w:t>
      </w:r>
      <w:r w:rsidRPr="007713C1">
        <w:t xml:space="preserve">.3. Брой предложения и безвъзмездни финансови помощи на кандидат </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F63260" w:rsidRPr="008F724D" w14:paraId="663D9107" w14:textId="77777777">
        <w:tc>
          <w:tcPr>
            <w:tcW w:w="9496" w:type="dxa"/>
          </w:tcPr>
          <w:p w14:paraId="2D585404" w14:textId="77777777" w:rsidR="00F63260" w:rsidRPr="008F724D" w:rsidRDefault="00F63260" w:rsidP="008F724D">
            <w:pPr>
              <w:spacing w:before="120" w:after="120" w:line="240" w:lineRule="auto"/>
              <w:jc w:val="both"/>
              <w:rPr>
                <w:rFonts w:ascii="Times New Roman" w:eastAsia="Times New Roman" w:hAnsi="Times New Roman"/>
                <w:sz w:val="24"/>
                <w:szCs w:val="24"/>
                <w:lang w:eastAsia="bg-BG"/>
              </w:rPr>
            </w:pPr>
            <w:r w:rsidRPr="00390DF0">
              <w:rPr>
                <w:rFonts w:ascii="Times New Roman" w:eastAsia="Times New Roman" w:hAnsi="Times New Roman"/>
                <w:b/>
                <w:sz w:val="24"/>
                <w:szCs w:val="24"/>
                <w:lang w:eastAsia="bg-BG"/>
              </w:rPr>
              <w:t>Всеки кандидат може да подаде само едно проектно предложение</w:t>
            </w:r>
            <w:r w:rsidRPr="008F724D">
              <w:rPr>
                <w:rFonts w:ascii="Times New Roman" w:eastAsia="Times New Roman" w:hAnsi="Times New Roman"/>
                <w:sz w:val="24"/>
                <w:szCs w:val="24"/>
                <w:lang w:eastAsia="bg-BG"/>
              </w:rPr>
              <w:t xml:space="preserve"> по настоящата процедура за набиране на предложения. В случай, че кандидат е подал повече от едно проектно предложение, то до оценка ще бъде допуснато само</w:t>
            </w:r>
            <w:r w:rsidR="00FB32F5">
              <w:rPr>
                <w:rFonts w:ascii="Times New Roman" w:eastAsia="Times New Roman" w:hAnsi="Times New Roman"/>
                <w:sz w:val="24"/>
                <w:szCs w:val="24"/>
                <w:lang w:eastAsia="bg-BG"/>
              </w:rPr>
              <w:t xml:space="preserve"> последното</w:t>
            </w:r>
            <w:r w:rsidRPr="008F724D">
              <w:rPr>
                <w:rFonts w:ascii="Times New Roman" w:eastAsia="Times New Roman" w:hAnsi="Times New Roman"/>
                <w:sz w:val="24"/>
                <w:szCs w:val="24"/>
                <w:lang w:eastAsia="bg-BG"/>
              </w:rPr>
              <w:t>, по време на подаване проектно предложение, освен ако не е оттеглено от страна на кандидата.</w:t>
            </w:r>
          </w:p>
          <w:p w14:paraId="309BDB6C" w14:textId="77777777" w:rsidR="00F63260" w:rsidRPr="00557A77" w:rsidRDefault="00F63260" w:rsidP="008F724D">
            <w:pPr>
              <w:spacing w:before="120" w:after="120" w:line="240" w:lineRule="auto"/>
              <w:jc w:val="both"/>
              <w:rPr>
                <w:rFonts w:ascii="Times New Roman" w:eastAsia="Times New Roman" w:hAnsi="Times New Roman"/>
                <w:color w:val="FF0000"/>
                <w:sz w:val="24"/>
                <w:szCs w:val="24"/>
                <w:lang w:eastAsia="bg-BG"/>
              </w:rPr>
            </w:pPr>
          </w:p>
        </w:tc>
      </w:tr>
    </w:tbl>
    <w:p w14:paraId="62F1AEBB" w14:textId="77777777" w:rsidR="00F63260" w:rsidRPr="007713C1" w:rsidRDefault="003B2B99" w:rsidP="003A2D4B">
      <w:pPr>
        <w:pStyle w:val="Heading2"/>
      </w:pPr>
      <w:bookmarkStart w:id="52" w:name="_Toc445385630"/>
      <w:r>
        <w:t>24</w:t>
      </w:r>
      <w:r w:rsidR="00F059A2" w:rsidRPr="007713C1">
        <w:t xml:space="preserve">.4. Допълнителни </w:t>
      </w:r>
      <w:r w:rsidR="00B71A31" w:rsidRPr="007713C1">
        <w:t>въпроси и разяснения във връзка с Условията</w:t>
      </w:r>
      <w:r w:rsidR="00F059A2" w:rsidRPr="007713C1">
        <w:t xml:space="preserve"> за кандидатстване</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F059A2" w:rsidRPr="008F724D" w14:paraId="7D240E51" w14:textId="77777777">
        <w:tc>
          <w:tcPr>
            <w:tcW w:w="9496" w:type="dxa"/>
          </w:tcPr>
          <w:p w14:paraId="6CC91911" w14:textId="77777777" w:rsidR="00557A77" w:rsidRPr="00C3511D" w:rsidRDefault="00557A77" w:rsidP="00E350F8">
            <w:pPr>
              <w:spacing w:before="120" w:after="120" w:line="240" w:lineRule="auto"/>
              <w:jc w:val="both"/>
              <w:rPr>
                <w:rFonts w:ascii="Times New Roman" w:eastAsia="Times New Roman" w:hAnsi="Times New Roman"/>
                <w:sz w:val="24"/>
                <w:szCs w:val="24"/>
                <w:lang w:eastAsia="bg-BG"/>
              </w:rPr>
            </w:pPr>
            <w:r w:rsidRPr="00C3511D">
              <w:rPr>
                <w:rFonts w:ascii="Times New Roman" w:eastAsia="Times New Roman" w:hAnsi="Times New Roman"/>
                <w:sz w:val="24"/>
                <w:szCs w:val="24"/>
                <w:lang w:eastAsia="bg-BG"/>
              </w:rPr>
              <w:t xml:space="preserve">Кандидат в процедура може да иска разяснения по документите за кандидатстване в срок до три седмици преди изтичането на срока за кандидатстване. Разясненията се утвърждават от Председателя на МИГ </w:t>
            </w:r>
            <w:r w:rsidR="00FB32F5" w:rsidRPr="00C3511D">
              <w:rPr>
                <w:rFonts w:ascii="Times New Roman" w:eastAsia="Times New Roman" w:hAnsi="Times New Roman"/>
                <w:sz w:val="24"/>
                <w:szCs w:val="24"/>
                <w:lang w:eastAsia="bg-BG"/>
              </w:rPr>
              <w:t>”Лясковец – Стражица”</w:t>
            </w:r>
            <w:r w:rsidRPr="00C3511D">
              <w:rPr>
                <w:rFonts w:ascii="Times New Roman" w:eastAsia="Times New Roman" w:hAnsi="Times New Roman"/>
                <w:sz w:val="24"/>
                <w:szCs w:val="24"/>
                <w:lang w:eastAsia="bg-BG"/>
              </w:rPr>
              <w:t xml:space="preserve">  или оправомощено от </w:t>
            </w:r>
            <w:r w:rsidRPr="00C3511D">
              <w:rPr>
                <w:rFonts w:ascii="Times New Roman" w:eastAsia="Times New Roman" w:hAnsi="Times New Roman"/>
                <w:sz w:val="24"/>
                <w:szCs w:val="24"/>
                <w:lang w:eastAsia="bg-BG"/>
              </w:rPr>
              <w:lastRenderedPageBreak/>
              <w:t xml:space="preserve">него лице. </w:t>
            </w:r>
          </w:p>
          <w:p w14:paraId="79D398E8" w14:textId="76762F5C" w:rsidR="00557A77" w:rsidRPr="00C3511D" w:rsidRDefault="00557A77" w:rsidP="00557A77">
            <w:pPr>
              <w:spacing w:after="0" w:line="240" w:lineRule="auto"/>
              <w:jc w:val="both"/>
              <w:rPr>
                <w:rFonts w:ascii="Times New Roman" w:eastAsia="Times New Roman" w:hAnsi="Times New Roman"/>
                <w:b/>
                <w:sz w:val="24"/>
                <w:szCs w:val="24"/>
                <w:lang w:eastAsia="bg-BG"/>
              </w:rPr>
            </w:pPr>
            <w:r w:rsidRPr="00C3511D">
              <w:rPr>
                <w:rFonts w:ascii="Times New Roman" w:eastAsia="Times New Roman" w:hAnsi="Times New Roman"/>
                <w:b/>
                <w:sz w:val="24"/>
                <w:szCs w:val="24"/>
                <w:lang w:eastAsia="bg-BG"/>
              </w:rPr>
              <w:t xml:space="preserve">На посочения </w:t>
            </w:r>
            <w:r w:rsidR="00551F73" w:rsidRPr="00C3511D">
              <w:rPr>
                <w:rFonts w:ascii="Times New Roman" w:eastAsia="Times New Roman" w:hAnsi="Times New Roman"/>
                <w:b/>
                <w:sz w:val="24"/>
                <w:szCs w:val="24"/>
                <w:lang w:val="en-US" w:eastAsia="bg-BG"/>
              </w:rPr>
              <w:t>e-email</w:t>
            </w:r>
            <w:r w:rsidR="00551F73" w:rsidRPr="00C3511D">
              <w:rPr>
                <w:rFonts w:ascii="Times New Roman" w:eastAsia="Times New Roman" w:hAnsi="Times New Roman"/>
                <w:b/>
                <w:sz w:val="24"/>
                <w:szCs w:val="24"/>
                <w:lang w:eastAsia="bg-BG"/>
              </w:rPr>
              <w:t>:</w:t>
            </w:r>
            <w:r w:rsidR="004058DB" w:rsidRPr="00C3511D">
              <w:rPr>
                <w:rFonts w:ascii="Times New Roman" w:eastAsia="Times New Roman" w:hAnsi="Times New Roman"/>
                <w:b/>
                <w:sz w:val="24"/>
                <w:szCs w:val="24"/>
                <w:lang w:eastAsia="bg-BG"/>
              </w:rPr>
              <w:t xml:space="preserve"> </w:t>
            </w:r>
            <w:r w:rsidR="00EE17AF" w:rsidRPr="00C3511D">
              <w:rPr>
                <w:rFonts w:ascii="Times New Roman" w:hAnsi="Times New Roman"/>
                <w:sz w:val="24"/>
                <w:szCs w:val="24"/>
                <w:shd w:val="clear" w:color="auto" w:fill="E0E0E0"/>
              </w:rPr>
              <w:t>m03_mig@abv.bg</w:t>
            </w:r>
            <w:r w:rsidRPr="00C3511D">
              <w:rPr>
                <w:rFonts w:ascii="Times New Roman" w:eastAsia="Times New Roman" w:hAnsi="Times New Roman"/>
                <w:sz w:val="24"/>
                <w:szCs w:val="24"/>
                <w:lang w:eastAsia="bg-BG"/>
              </w:rPr>
              <w:t>, като ясно се посочва номера на поканата за набиране на предложения,</w:t>
            </w:r>
            <w:r w:rsidRPr="00C3511D" w:rsidDel="00AD7679">
              <w:rPr>
                <w:rFonts w:ascii="Times New Roman" w:eastAsia="Times New Roman" w:hAnsi="Times New Roman"/>
                <w:sz w:val="24"/>
                <w:szCs w:val="24"/>
                <w:lang w:eastAsia="bg-BG"/>
              </w:rPr>
              <w:t xml:space="preserve"> </w:t>
            </w:r>
            <w:r w:rsidRPr="00C3511D">
              <w:rPr>
                <w:rFonts w:ascii="Times New Roman" w:eastAsia="Times New Roman" w:hAnsi="Times New Roman"/>
                <w:b/>
                <w:sz w:val="24"/>
                <w:szCs w:val="24"/>
                <w:lang w:eastAsia="bg-BG"/>
              </w:rPr>
              <w:t>могат да се задават въпроси и да се искат допълнителни разяснения</w:t>
            </w:r>
            <w:r w:rsidR="00120CFB" w:rsidRPr="00C3511D">
              <w:rPr>
                <w:rFonts w:ascii="Times New Roman" w:eastAsia="Times New Roman" w:hAnsi="Times New Roman"/>
                <w:b/>
                <w:sz w:val="24"/>
                <w:szCs w:val="24"/>
                <w:lang w:eastAsia="bg-BG"/>
              </w:rPr>
              <w:t xml:space="preserve">, в срок до </w:t>
            </w:r>
            <w:r w:rsidR="005870FC">
              <w:rPr>
                <w:rFonts w:ascii="Times New Roman" w:eastAsia="Times New Roman" w:hAnsi="Times New Roman"/>
                <w:b/>
                <w:sz w:val="24"/>
                <w:szCs w:val="24"/>
                <w:lang w:eastAsia="bg-BG"/>
              </w:rPr>
              <w:t>10 дни</w:t>
            </w:r>
            <w:r w:rsidR="00120CFB" w:rsidRPr="00C3511D">
              <w:rPr>
                <w:rFonts w:ascii="Times New Roman" w:eastAsia="Times New Roman" w:hAnsi="Times New Roman"/>
                <w:b/>
                <w:sz w:val="24"/>
                <w:szCs w:val="24"/>
                <w:lang w:eastAsia="bg-BG"/>
              </w:rPr>
              <w:t xml:space="preserve"> преди </w:t>
            </w:r>
            <w:r w:rsidR="005870FC">
              <w:rPr>
                <w:rFonts w:ascii="Times New Roman" w:eastAsia="Times New Roman" w:hAnsi="Times New Roman"/>
                <w:b/>
                <w:sz w:val="24"/>
                <w:szCs w:val="24"/>
                <w:lang w:eastAsia="bg-BG"/>
              </w:rPr>
              <w:t>крайния срок</w:t>
            </w:r>
            <w:r w:rsidR="00120CFB" w:rsidRPr="00C3511D">
              <w:rPr>
                <w:rFonts w:ascii="Times New Roman" w:eastAsia="Times New Roman" w:hAnsi="Times New Roman"/>
                <w:b/>
                <w:sz w:val="24"/>
                <w:szCs w:val="24"/>
                <w:lang w:eastAsia="bg-BG"/>
              </w:rPr>
              <w:t xml:space="preserve"> за кандидатстване: </w:t>
            </w:r>
            <w:r w:rsidR="005870FC">
              <w:rPr>
                <w:rFonts w:ascii="Times New Roman" w:eastAsia="Times New Roman" w:hAnsi="Times New Roman"/>
                <w:b/>
                <w:sz w:val="24"/>
                <w:szCs w:val="24"/>
                <w:lang w:eastAsia="bg-BG"/>
              </w:rPr>
              <w:t>2</w:t>
            </w:r>
            <w:r w:rsidR="00DC5750">
              <w:rPr>
                <w:rFonts w:ascii="Times New Roman" w:eastAsia="Times New Roman" w:hAnsi="Times New Roman"/>
                <w:b/>
                <w:sz w:val="24"/>
                <w:szCs w:val="24"/>
                <w:lang w:val="en-US" w:eastAsia="bg-BG"/>
              </w:rPr>
              <w:t>7</w:t>
            </w:r>
            <w:r w:rsidR="005870FC">
              <w:rPr>
                <w:rFonts w:ascii="Times New Roman" w:eastAsia="Times New Roman" w:hAnsi="Times New Roman"/>
                <w:b/>
                <w:sz w:val="24"/>
                <w:szCs w:val="24"/>
                <w:lang w:eastAsia="bg-BG"/>
              </w:rPr>
              <w:t>.11.2020</w:t>
            </w:r>
            <w:r w:rsidR="005870FC" w:rsidRPr="00C3511D">
              <w:rPr>
                <w:rFonts w:ascii="Times New Roman" w:eastAsia="Times New Roman" w:hAnsi="Times New Roman"/>
                <w:b/>
                <w:sz w:val="24"/>
                <w:szCs w:val="24"/>
                <w:lang w:eastAsia="bg-BG"/>
              </w:rPr>
              <w:t xml:space="preserve"> </w:t>
            </w:r>
            <w:r w:rsidR="00120CFB" w:rsidRPr="00C3511D">
              <w:rPr>
                <w:rFonts w:ascii="Times New Roman" w:eastAsia="Times New Roman" w:hAnsi="Times New Roman"/>
                <w:b/>
                <w:sz w:val="24"/>
                <w:szCs w:val="24"/>
                <w:lang w:eastAsia="bg-BG"/>
              </w:rPr>
              <w:t>г.</w:t>
            </w:r>
            <w:r w:rsidRPr="00C3511D">
              <w:rPr>
                <w:rFonts w:ascii="Times New Roman" w:eastAsia="Times New Roman" w:hAnsi="Times New Roman"/>
                <w:b/>
                <w:sz w:val="24"/>
                <w:szCs w:val="24"/>
                <w:lang w:eastAsia="bg-BG"/>
              </w:rPr>
              <w:t xml:space="preserve"> </w:t>
            </w:r>
          </w:p>
          <w:p w14:paraId="459E06AC" w14:textId="77777777" w:rsidR="00557A77" w:rsidRPr="00557A77" w:rsidRDefault="00557A77" w:rsidP="00557A77">
            <w:pPr>
              <w:spacing w:after="0" w:line="240" w:lineRule="auto"/>
              <w:jc w:val="both"/>
              <w:rPr>
                <w:rFonts w:ascii="Times New Roman" w:eastAsia="Times New Roman" w:hAnsi="Times New Roman"/>
                <w:sz w:val="24"/>
                <w:szCs w:val="24"/>
                <w:lang w:eastAsia="bg-BG"/>
              </w:rPr>
            </w:pPr>
            <w:r w:rsidRPr="00557A77">
              <w:rPr>
                <w:rFonts w:ascii="Times New Roman" w:eastAsia="Times New Roman" w:hAnsi="Times New Roman"/>
                <w:sz w:val="24"/>
                <w:szCs w:val="24"/>
                <w:lang w:eastAsia="bg-BG"/>
              </w:rPr>
              <w:t xml:space="preserve">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w:t>
            </w:r>
          </w:p>
          <w:p w14:paraId="5A72E134" w14:textId="00589AD0" w:rsidR="00F059A2" w:rsidRPr="008F724D" w:rsidRDefault="00FD06DC" w:rsidP="00FD06DC">
            <w:pPr>
              <w:spacing w:line="240" w:lineRule="auto"/>
              <w:rPr>
                <w:rFonts w:ascii="Times New Roman" w:eastAsia="Times New Roman" w:hAnsi="Times New Roman"/>
                <w:bCs/>
                <w:sz w:val="24"/>
                <w:szCs w:val="24"/>
                <w:lang w:eastAsia="bg-BG"/>
              </w:rPr>
            </w:pPr>
            <w:r>
              <w:rPr>
                <w:rFonts w:ascii="Times New Roman" w:eastAsia="Times New Roman" w:hAnsi="Times New Roman"/>
                <w:sz w:val="24"/>
                <w:szCs w:val="24"/>
                <w:lang w:eastAsia="bg-BG"/>
              </w:rPr>
              <w:t xml:space="preserve">Разясненията </w:t>
            </w:r>
            <w:r w:rsidR="00557A77" w:rsidRPr="00557A77">
              <w:rPr>
                <w:rFonts w:ascii="Times New Roman" w:eastAsia="Times New Roman" w:hAnsi="Times New Roman"/>
                <w:sz w:val="24"/>
                <w:szCs w:val="24"/>
                <w:lang w:eastAsia="bg-BG"/>
              </w:rPr>
              <w:t xml:space="preserve">се публикуват на електронната страница на МИГ и в ИСУН в срок до </w:t>
            </w:r>
            <w:r w:rsidR="005870FC">
              <w:rPr>
                <w:rFonts w:ascii="Times New Roman" w:eastAsia="Times New Roman" w:hAnsi="Times New Roman"/>
                <w:sz w:val="24"/>
                <w:szCs w:val="24"/>
                <w:lang w:eastAsia="bg-BG"/>
              </w:rPr>
              <w:t xml:space="preserve">пет дни преди </w:t>
            </w:r>
            <w:r w:rsidR="00557A77" w:rsidRPr="00557A77">
              <w:rPr>
                <w:rFonts w:ascii="Times New Roman" w:eastAsia="Times New Roman" w:hAnsi="Times New Roman"/>
                <w:sz w:val="24"/>
                <w:szCs w:val="24"/>
                <w:lang w:eastAsia="bg-BG"/>
              </w:rPr>
              <w:t>срока за кандидатстване</w:t>
            </w:r>
            <w:r w:rsidR="00A0414A">
              <w:rPr>
                <w:rFonts w:ascii="Times New Roman" w:eastAsia="Times New Roman" w:hAnsi="Times New Roman"/>
                <w:bCs/>
                <w:sz w:val="24"/>
                <w:szCs w:val="24"/>
                <w:lang w:eastAsia="bg-BG"/>
              </w:rPr>
              <w:t xml:space="preserve">: </w:t>
            </w:r>
            <w:r w:rsidR="00DC5750">
              <w:rPr>
                <w:rFonts w:ascii="Times New Roman" w:eastAsia="Times New Roman" w:hAnsi="Times New Roman"/>
                <w:bCs/>
                <w:sz w:val="24"/>
                <w:szCs w:val="24"/>
                <w:lang w:val="en-US" w:eastAsia="bg-BG"/>
              </w:rPr>
              <w:t>02</w:t>
            </w:r>
            <w:r w:rsidR="005870FC">
              <w:rPr>
                <w:rFonts w:ascii="Times New Roman" w:eastAsia="Times New Roman" w:hAnsi="Times New Roman"/>
                <w:bCs/>
                <w:sz w:val="24"/>
                <w:szCs w:val="24"/>
                <w:lang w:eastAsia="bg-BG"/>
              </w:rPr>
              <w:t>.1</w:t>
            </w:r>
            <w:r w:rsidR="00DC5750">
              <w:rPr>
                <w:rFonts w:ascii="Times New Roman" w:eastAsia="Times New Roman" w:hAnsi="Times New Roman"/>
                <w:bCs/>
                <w:sz w:val="24"/>
                <w:szCs w:val="24"/>
                <w:lang w:val="en-US" w:eastAsia="bg-BG"/>
              </w:rPr>
              <w:t>2</w:t>
            </w:r>
            <w:r w:rsidR="005870FC">
              <w:rPr>
                <w:rFonts w:ascii="Times New Roman" w:eastAsia="Times New Roman" w:hAnsi="Times New Roman"/>
                <w:bCs/>
                <w:sz w:val="24"/>
                <w:szCs w:val="24"/>
                <w:lang w:eastAsia="bg-BG"/>
              </w:rPr>
              <w:t xml:space="preserve">.2020 </w:t>
            </w:r>
            <w:r w:rsidR="00A0414A">
              <w:rPr>
                <w:rFonts w:ascii="Times New Roman" w:eastAsia="Times New Roman" w:hAnsi="Times New Roman"/>
                <w:bCs/>
                <w:sz w:val="24"/>
                <w:szCs w:val="24"/>
                <w:lang w:eastAsia="bg-BG"/>
              </w:rPr>
              <w:t>г.</w:t>
            </w:r>
            <w:r w:rsidR="00F059A2" w:rsidRPr="008F724D">
              <w:rPr>
                <w:rFonts w:ascii="Times New Roman" w:eastAsia="Times New Roman" w:hAnsi="Times New Roman"/>
                <w:bCs/>
                <w:sz w:val="24"/>
                <w:szCs w:val="24"/>
                <w:lang w:eastAsia="bg-BG"/>
              </w:rPr>
              <w:t xml:space="preserve"> </w:t>
            </w:r>
          </w:p>
          <w:p w14:paraId="0436773D" w14:textId="33671C89" w:rsidR="00F059A2" w:rsidRPr="00C91138" w:rsidRDefault="00F059A2" w:rsidP="008F724D">
            <w:pPr>
              <w:pStyle w:val="BodyText3"/>
              <w:spacing w:before="120" w:line="240" w:lineRule="auto"/>
              <w:jc w:val="both"/>
              <w:rPr>
                <w:rFonts w:ascii="Times New Roman" w:eastAsia="Times New Roman" w:hAnsi="Times New Roman"/>
                <w:sz w:val="24"/>
                <w:szCs w:val="24"/>
                <w:lang w:val="bg-BG" w:eastAsia="bg-BG"/>
              </w:rPr>
            </w:pPr>
            <w:r w:rsidRPr="00C91138">
              <w:rPr>
                <w:rFonts w:ascii="Times New Roman" w:eastAsia="Times New Roman" w:hAnsi="Times New Roman"/>
                <w:sz w:val="24"/>
                <w:szCs w:val="24"/>
                <w:lang w:val="bg-BG" w:eastAsia="bg-BG"/>
              </w:rPr>
              <w:t xml:space="preserve">С оглед осигуряване равнопоставено третиране на кандидатите, </w:t>
            </w:r>
            <w:r w:rsidR="003B2B99" w:rsidRPr="00C91138">
              <w:rPr>
                <w:rFonts w:ascii="Times New Roman" w:eastAsia="Times New Roman" w:hAnsi="Times New Roman"/>
                <w:sz w:val="24"/>
                <w:szCs w:val="24"/>
                <w:lang w:val="bg-BG" w:eastAsia="bg-BG"/>
              </w:rPr>
              <w:t>МИГ</w:t>
            </w:r>
            <w:r w:rsidR="005870FC">
              <w:rPr>
                <w:rFonts w:ascii="Times New Roman" w:eastAsia="Times New Roman" w:hAnsi="Times New Roman"/>
                <w:sz w:val="24"/>
                <w:szCs w:val="24"/>
                <w:lang w:val="bg-BG" w:eastAsia="bg-BG"/>
              </w:rPr>
              <w:t xml:space="preserve"> </w:t>
            </w:r>
            <w:r w:rsidRPr="00C91138">
              <w:rPr>
                <w:rFonts w:ascii="Times New Roman" w:eastAsia="Times New Roman" w:hAnsi="Times New Roman"/>
                <w:sz w:val="24"/>
                <w:szCs w:val="24"/>
                <w:lang w:val="bg-BG" w:eastAsia="bg-BG"/>
              </w:rPr>
              <w:t>няма да дава разяснения, които съдържат становище относно качеството на конкретно проектно предложение.</w:t>
            </w:r>
            <w:r w:rsidR="00B71A31" w:rsidRPr="00C91138">
              <w:rPr>
                <w:rFonts w:ascii="Times New Roman" w:eastAsia="Times New Roman" w:hAnsi="Times New Roman"/>
                <w:sz w:val="24"/>
                <w:szCs w:val="24"/>
                <w:lang w:val="bg-BG" w:eastAsia="bg-BG"/>
              </w:rPr>
              <w:t xml:space="preserve"> </w:t>
            </w:r>
            <w:r w:rsidR="00B71A31" w:rsidRPr="00C91138">
              <w:rPr>
                <w:rFonts w:ascii="Times New Roman" w:eastAsia="Times New Roman" w:hAnsi="Times New Roman"/>
                <w:color w:val="000000"/>
                <w:sz w:val="24"/>
                <w:szCs w:val="24"/>
                <w:lang w:val="bg-BG" w:eastAsia="bg-BG"/>
              </w:rPr>
              <w:t>Разяснения се дават по отношение на условията за кандидатстване и са задължителни за всички кандидати.</w:t>
            </w:r>
          </w:p>
          <w:p w14:paraId="38890F7D" w14:textId="1F532BE3" w:rsidR="00F059A2" w:rsidRPr="00C91138" w:rsidRDefault="00F059A2" w:rsidP="004058DB">
            <w:pPr>
              <w:pStyle w:val="BodyText3"/>
              <w:spacing w:before="120" w:line="240" w:lineRule="auto"/>
              <w:rPr>
                <w:rFonts w:ascii="Times New Roman" w:eastAsia="Times New Roman" w:hAnsi="Times New Roman"/>
                <w:sz w:val="24"/>
                <w:szCs w:val="24"/>
                <w:lang w:val="bg-BG" w:eastAsia="bg-BG"/>
              </w:rPr>
            </w:pPr>
            <w:r w:rsidRPr="00C91138">
              <w:rPr>
                <w:rFonts w:ascii="Times New Roman" w:eastAsia="Times New Roman" w:hAnsi="Times New Roman"/>
                <w:sz w:val="24"/>
                <w:szCs w:val="24"/>
                <w:lang w:val="bg-BG" w:eastAsia="bg-BG"/>
              </w:rPr>
              <w:t>Въпросите и разясненията ще бъдат публикувани на следните интернет-страници:</w:t>
            </w:r>
            <w:r w:rsidR="00AC4AD1">
              <w:t xml:space="preserve"> </w:t>
            </w:r>
            <w:hyperlink r:id="rId11" w:history="1">
              <w:r w:rsidR="00AC4AD1" w:rsidRPr="0087588A">
                <w:rPr>
                  <w:rStyle w:val="Hyperlink"/>
                  <w:rFonts w:ascii="Times New Roman" w:eastAsia="Times New Roman" w:hAnsi="Times New Roman"/>
                  <w:sz w:val="24"/>
                  <w:szCs w:val="24"/>
                  <w:lang w:val="bg-BG" w:eastAsia="bg-BG"/>
                </w:rPr>
                <w:t>http://www.mig-zaedno.eu/</w:t>
              </w:r>
            </w:hyperlink>
            <w:r w:rsidR="00AC4AD1">
              <w:rPr>
                <w:rFonts w:ascii="Times New Roman" w:eastAsia="Times New Roman" w:hAnsi="Times New Roman"/>
                <w:sz w:val="24"/>
                <w:szCs w:val="24"/>
                <w:lang w:val="bg-BG" w:eastAsia="bg-BG"/>
              </w:rPr>
              <w:t xml:space="preserve"> </w:t>
            </w:r>
            <w:r w:rsidR="00A0414A">
              <w:rPr>
                <w:rFonts w:ascii="Times New Roman" w:eastAsia="Times New Roman" w:hAnsi="Times New Roman"/>
                <w:sz w:val="24"/>
                <w:szCs w:val="24"/>
                <w:lang w:val="bg-BG" w:eastAsia="bg-BG"/>
              </w:rPr>
              <w:t xml:space="preserve">и </w:t>
            </w:r>
            <w:r w:rsidR="003E27EA" w:rsidRPr="003E27EA">
              <w:rPr>
                <w:rFonts w:ascii="Times New Roman" w:eastAsia="Times New Roman" w:hAnsi="Times New Roman"/>
                <w:sz w:val="24"/>
                <w:szCs w:val="24"/>
                <w:lang w:val="en-US" w:eastAsia="bg-BG"/>
              </w:rPr>
              <w:t>https://eumis2020.government.bg</w:t>
            </w:r>
            <w:r w:rsidR="003E27EA">
              <w:rPr>
                <w:rFonts w:ascii="Times New Roman" w:eastAsia="Times New Roman" w:hAnsi="Times New Roman"/>
                <w:sz w:val="24"/>
                <w:szCs w:val="24"/>
                <w:lang w:val="bg-BG" w:eastAsia="bg-BG"/>
              </w:rPr>
              <w:t xml:space="preserve"> </w:t>
            </w:r>
            <w:r w:rsidRPr="00C91138">
              <w:rPr>
                <w:rFonts w:ascii="Times New Roman" w:eastAsia="Times New Roman" w:hAnsi="Times New Roman"/>
                <w:sz w:val="24"/>
                <w:szCs w:val="24"/>
                <w:lang w:val="bg-BG" w:eastAsia="bg-BG"/>
              </w:rPr>
              <w:t>към документите по процедурата</w:t>
            </w:r>
          </w:p>
        </w:tc>
      </w:tr>
    </w:tbl>
    <w:p w14:paraId="6B462672" w14:textId="77777777" w:rsidR="004E418C" w:rsidRPr="007713C1" w:rsidRDefault="004E418C" w:rsidP="004E418C">
      <w:pPr>
        <w:pStyle w:val="Heading2"/>
      </w:pPr>
      <w:bookmarkStart w:id="53" w:name="_Toc445385631"/>
      <w:r>
        <w:lastRenderedPageBreak/>
        <w:t>24.5</w:t>
      </w:r>
      <w:r w:rsidRPr="007713C1">
        <w:t xml:space="preserve">. </w:t>
      </w:r>
      <w:r>
        <w:t>Уведомяване относно предварителното решение на МИГ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E418C" w:rsidRPr="008F724D" w14:paraId="63375DA3" w14:textId="77777777">
        <w:tc>
          <w:tcPr>
            <w:tcW w:w="9496" w:type="dxa"/>
          </w:tcPr>
          <w:p w14:paraId="7D3DC857" w14:textId="77777777" w:rsidR="00C07837" w:rsidRPr="00C07837" w:rsidRDefault="00C07837" w:rsidP="00FB32F5">
            <w:pPr>
              <w:pStyle w:val="Text1"/>
              <w:tabs>
                <w:tab w:val="left" w:pos="0"/>
                <w:tab w:val="left" w:pos="567"/>
                <w:tab w:val="left" w:pos="2608"/>
                <w:tab w:val="left" w:pos="3317"/>
              </w:tabs>
              <w:spacing w:before="120" w:after="120"/>
              <w:ind w:left="0"/>
              <w:rPr>
                <w:shd w:val="clear" w:color="auto" w:fill="FEFEFE"/>
                <w:lang w:eastAsia="bg-BG"/>
              </w:rPr>
            </w:pPr>
            <w:r w:rsidRPr="00C07837">
              <w:rPr>
                <w:shd w:val="clear" w:color="auto" w:fill="FEFEFE"/>
                <w:lang w:eastAsia="bg-BG"/>
              </w:rPr>
              <w:t>В срок до 5 работни дни от одобряване на оценителния докл</w:t>
            </w:r>
            <w:r>
              <w:rPr>
                <w:shd w:val="clear" w:color="auto" w:fill="FEFEFE"/>
                <w:lang w:eastAsia="bg-BG"/>
              </w:rPr>
              <w:t xml:space="preserve">ад от Управителния съвет на МИГ </w:t>
            </w:r>
            <w:r w:rsidR="00E350F8">
              <w:rPr>
                <w:shd w:val="clear" w:color="auto" w:fill="FEFEFE"/>
                <w:lang w:eastAsia="bg-BG"/>
              </w:rPr>
              <w:t>–</w:t>
            </w:r>
            <w:r w:rsidR="005244BF">
              <w:rPr>
                <w:shd w:val="clear" w:color="auto" w:fill="FEFEFE"/>
                <w:lang w:eastAsia="bg-BG"/>
              </w:rPr>
              <w:t xml:space="preserve"> </w:t>
            </w:r>
            <w:r w:rsidR="00E350F8">
              <w:rPr>
                <w:shd w:val="clear" w:color="auto" w:fill="FEFEFE"/>
                <w:lang w:eastAsia="bg-BG"/>
              </w:rPr>
              <w:t>„Лясковец – Стражица“</w:t>
            </w:r>
            <w:r w:rsidRPr="00C07837">
              <w:rPr>
                <w:shd w:val="clear" w:color="auto" w:fill="FEFEFE"/>
                <w:lang w:eastAsia="bg-BG"/>
              </w:rPr>
              <w:t xml:space="preserve"> уведомява  кандидатите, чиито проектни предложения не са одобрени или са частично одобрени.</w:t>
            </w:r>
          </w:p>
          <w:p w14:paraId="463BA538" w14:textId="77777777" w:rsidR="00C07837" w:rsidRPr="00C07837" w:rsidRDefault="00C07837" w:rsidP="00C07837">
            <w:pPr>
              <w:tabs>
                <w:tab w:val="left" w:pos="0"/>
                <w:tab w:val="left" w:pos="284"/>
              </w:tabs>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Pr="00C07837">
              <w:rPr>
                <w:rFonts w:ascii="Times New Roman" w:eastAsia="Times New Roman" w:hAnsi="Times New Roman"/>
                <w:sz w:val="24"/>
                <w:szCs w:val="24"/>
                <w:lang w:eastAsia="bg-BG"/>
              </w:rPr>
              <w:t xml:space="preserve">Всеки кандидат, получил уведомително писмо, че проектното </w:t>
            </w:r>
            <w:r w:rsidR="007546CB">
              <w:rPr>
                <w:rFonts w:ascii="Times New Roman" w:eastAsia="Times New Roman" w:hAnsi="Times New Roman"/>
                <w:sz w:val="24"/>
                <w:szCs w:val="24"/>
                <w:lang w:eastAsia="bg-BG"/>
              </w:rPr>
              <w:t xml:space="preserve">му предложение </w:t>
            </w:r>
            <w:r w:rsidRPr="00C07837">
              <w:rPr>
                <w:rFonts w:ascii="Times New Roman" w:eastAsia="Times New Roman" w:hAnsi="Times New Roman"/>
                <w:sz w:val="24"/>
                <w:szCs w:val="24"/>
                <w:lang w:eastAsia="bg-BG"/>
              </w:rPr>
              <w:t xml:space="preserve"> не е одобрено или е частично одобрено, има право да подаде възражение пред финансиращия/финансиращите проекта УО в срок до </w:t>
            </w:r>
            <w:r w:rsidR="00A35B7F">
              <w:rPr>
                <w:rFonts w:ascii="Times New Roman" w:eastAsia="Times New Roman" w:hAnsi="Times New Roman"/>
                <w:sz w:val="24"/>
                <w:szCs w:val="24"/>
                <w:lang w:eastAsia="bg-BG"/>
              </w:rPr>
              <w:t>3</w:t>
            </w:r>
            <w:r w:rsidRPr="00C07837">
              <w:rPr>
                <w:rFonts w:ascii="Times New Roman" w:eastAsia="Times New Roman" w:hAnsi="Times New Roman"/>
                <w:sz w:val="24"/>
                <w:szCs w:val="24"/>
                <w:lang w:eastAsia="bg-BG"/>
              </w:rPr>
              <w:t xml:space="preserve"> работни дни от датата на получаването на уведомлението.</w:t>
            </w:r>
          </w:p>
          <w:p w14:paraId="793E39AB" w14:textId="77777777" w:rsidR="004E418C" w:rsidRPr="008F724D" w:rsidRDefault="004E418C" w:rsidP="00D74CD7">
            <w:pPr>
              <w:tabs>
                <w:tab w:val="left" w:pos="0"/>
                <w:tab w:val="left" w:pos="284"/>
              </w:tabs>
              <w:spacing w:after="0" w:line="240" w:lineRule="auto"/>
              <w:jc w:val="both"/>
              <w:rPr>
                <w:lang w:eastAsia="bg-BG"/>
              </w:rPr>
            </w:pPr>
          </w:p>
        </w:tc>
      </w:tr>
    </w:tbl>
    <w:p w14:paraId="5E10349E" w14:textId="77777777" w:rsidR="00F059A2" w:rsidRPr="007713C1" w:rsidRDefault="003B2B99" w:rsidP="003A2D4B">
      <w:pPr>
        <w:pStyle w:val="Heading2"/>
      </w:pPr>
      <w:r>
        <w:t>24</w:t>
      </w:r>
      <w:r w:rsidR="004E418C">
        <w:t>.6</w:t>
      </w:r>
      <w:r w:rsidR="00D67E90" w:rsidRPr="007713C1">
        <w:t xml:space="preserve">. </w:t>
      </w:r>
      <w:r w:rsidR="00325CC3" w:rsidRPr="007713C1">
        <w:t>Процедура за възражения относно оценката</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D67E90" w:rsidRPr="008F724D" w14:paraId="474B11DA" w14:textId="77777777">
        <w:tc>
          <w:tcPr>
            <w:tcW w:w="9496" w:type="dxa"/>
          </w:tcPr>
          <w:p w14:paraId="2EBF7BA6"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Всеки кандидат, получил уведомително писмо от МИГ, че проектното му предложение не е одобрено или че е частично одобрено, има право да възрази пред финансиращия/финансиращите проекта УО в срок до 3 работни дни от датата на получаването на уведомлението.</w:t>
            </w:r>
          </w:p>
          <w:p w14:paraId="02F75884"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и нотариално заверено пълномощно. В случай че кандидатът се представлява заедно от няколко лица, възражението се подписва от всички представляващи.</w:t>
            </w:r>
          </w:p>
          <w:p w14:paraId="660B5ED2"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Възражение може да се подава само срещу предложението на оценителната комисия за отхвърляне на съответното проектно предложение.</w:t>
            </w:r>
          </w:p>
          <w:p w14:paraId="5D419833"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3878BB50"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 xml:space="preserve">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w:t>
            </w:r>
            <w:r>
              <w:rPr>
                <w:lang w:eastAsia="bg-BG"/>
              </w:rPr>
              <w:lastRenderedPageBreak/>
              <w:t>подаване на възражението се счита датата на пощенското клеймо.</w:t>
            </w:r>
          </w:p>
          <w:p w14:paraId="0AB6BD4A"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Ръководителят на УО се произнася по основателността на възражението в срок до 10 работни дни от неговото получаване, като:</w:t>
            </w:r>
          </w:p>
          <w:p w14:paraId="1F886F77" w14:textId="77777777" w:rsidR="006656EC" w:rsidRDefault="006656EC" w:rsidP="006656EC">
            <w:pPr>
              <w:pStyle w:val="Text1"/>
              <w:tabs>
                <w:tab w:val="left" w:pos="0"/>
                <w:tab w:val="left" w:pos="567"/>
                <w:tab w:val="left" w:pos="2608"/>
                <w:tab w:val="left" w:pos="3317"/>
              </w:tabs>
              <w:spacing w:before="120" w:after="120"/>
              <w:rPr>
                <w:lang w:eastAsia="bg-BG"/>
              </w:rPr>
            </w:pPr>
            <w:r>
              <w:rPr>
                <w:lang w:eastAsia="bg-BG"/>
              </w:rPr>
              <w:t>1. връща проектното предложение за повторно извършване на процедурата по оценка;</w:t>
            </w:r>
          </w:p>
          <w:p w14:paraId="5028E8D1" w14:textId="77777777" w:rsidR="006656EC" w:rsidRDefault="006656EC" w:rsidP="006656EC">
            <w:pPr>
              <w:pStyle w:val="Text1"/>
              <w:tabs>
                <w:tab w:val="left" w:pos="0"/>
                <w:tab w:val="left" w:pos="567"/>
                <w:tab w:val="left" w:pos="2608"/>
                <w:tab w:val="left" w:pos="3317"/>
              </w:tabs>
              <w:spacing w:before="120" w:after="120"/>
              <w:rPr>
                <w:lang w:eastAsia="bg-BG"/>
              </w:rPr>
            </w:pPr>
            <w:r>
              <w:rPr>
                <w:lang w:eastAsia="bg-BG"/>
              </w:rPr>
              <w:t>2. потвърждава предварителното решение на МИГ.</w:t>
            </w:r>
          </w:p>
          <w:p w14:paraId="4C7889CB" w14:textId="77777777" w:rsidR="003B2B99" w:rsidRPr="008F724D" w:rsidRDefault="006656EC" w:rsidP="006656EC">
            <w:pPr>
              <w:pStyle w:val="Text1"/>
              <w:tabs>
                <w:tab w:val="left" w:pos="0"/>
                <w:tab w:val="left" w:pos="567"/>
                <w:tab w:val="left" w:pos="2608"/>
                <w:tab w:val="left" w:pos="3317"/>
              </w:tabs>
              <w:spacing w:before="120" w:after="120"/>
              <w:ind w:left="0"/>
              <w:rPr>
                <w:lang w:eastAsia="bg-BG"/>
              </w:rPr>
            </w:pPr>
            <w:r>
              <w:rPr>
                <w:lang w:eastAsia="bg-BG"/>
              </w:rPr>
              <w:t>УО уведомява кандидатите за основателността на техните възражения по реда на чл. 61 от Административнопроцесуалния кодекс.</w:t>
            </w:r>
          </w:p>
        </w:tc>
      </w:tr>
    </w:tbl>
    <w:p w14:paraId="25F8C19F" w14:textId="77777777" w:rsidR="00D67E90" w:rsidRPr="007713C1" w:rsidRDefault="002709D4" w:rsidP="003A2D4B">
      <w:pPr>
        <w:pStyle w:val="Heading2"/>
      </w:pPr>
      <w:bookmarkStart w:id="54" w:name="_Toc445385632"/>
      <w:r>
        <w:lastRenderedPageBreak/>
        <w:t>24</w:t>
      </w:r>
      <w:r w:rsidR="004E418C">
        <w:t>.7</w:t>
      </w:r>
      <w:r w:rsidR="00D67E90" w:rsidRPr="007713C1">
        <w:t>. Представяне на подкрепящи документи към момента на сключване на административен договор</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D67E90" w:rsidRPr="008F724D" w14:paraId="7A0C1647" w14:textId="77777777">
        <w:tc>
          <w:tcPr>
            <w:tcW w:w="9496" w:type="dxa"/>
          </w:tcPr>
          <w:p w14:paraId="5328BA0A" w14:textId="77777777" w:rsidR="00E04D8A" w:rsidRPr="00BF0C79" w:rsidRDefault="00E04D8A" w:rsidP="00E04D8A">
            <w:pPr>
              <w:pStyle w:val="Default"/>
              <w:spacing w:before="120" w:after="120"/>
              <w:jc w:val="both"/>
              <w:rPr>
                <w:b/>
              </w:rPr>
            </w:pPr>
            <w:r w:rsidRPr="00BF0C79">
              <w:rPr>
                <w:b/>
              </w:rPr>
              <w:t>Кандидатът трябва да представи следните документи:</w:t>
            </w:r>
          </w:p>
          <w:p w14:paraId="5C760432" w14:textId="77777777" w:rsidR="00E04D8A" w:rsidRPr="00E04D8A" w:rsidRDefault="00E04D8A" w:rsidP="00E04D8A">
            <w:pPr>
              <w:pStyle w:val="Default"/>
              <w:spacing w:before="120" w:after="120"/>
              <w:jc w:val="both"/>
            </w:pPr>
            <w:r w:rsidRPr="00BF0C79">
              <w:rPr>
                <w:b/>
              </w:rPr>
              <w:t>1.</w:t>
            </w:r>
            <w:r w:rsidRPr="00BF0C79">
              <w:rPr>
                <w:b/>
              </w:rPr>
              <w:tab/>
              <w:t>Удостоверение, потвърждаващо че кандидатът не е обявен в несъстоятелност и не е в производство по несъстоятелност</w:t>
            </w:r>
            <w:r w:rsidRPr="00E04D8A">
              <w:t>, издадено от съответния съд не по-рано от 3 месеца преди датата на предоставянето му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w:t>
            </w:r>
          </w:p>
          <w:p w14:paraId="368BE7F4" w14:textId="77777777" w:rsidR="00E04D8A" w:rsidRPr="00E04D8A" w:rsidRDefault="00E04D8A" w:rsidP="00E04D8A">
            <w:pPr>
              <w:pStyle w:val="Default"/>
              <w:spacing w:before="120" w:after="120"/>
              <w:jc w:val="both"/>
            </w:pPr>
            <w:r w:rsidRPr="00E04D8A">
              <w:t xml:space="preserve">2. </w:t>
            </w:r>
            <w:r w:rsidRPr="00BF0C79">
              <w:rPr>
                <w:b/>
              </w:rPr>
              <w:t>Удостоверение, потвърждаващо че кандидатът не е обявен в процедура по ликвидация</w:t>
            </w:r>
            <w:r w:rsidRPr="00E04D8A">
              <w:t>, издадено от съответния съд не по-рано от 3 месеца преди датата на предоставянето му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w:t>
            </w:r>
          </w:p>
          <w:p w14:paraId="304E43CC" w14:textId="77777777" w:rsidR="00E04D8A" w:rsidRPr="00E04D8A" w:rsidRDefault="00E04D8A" w:rsidP="00E04D8A">
            <w:pPr>
              <w:pStyle w:val="Default"/>
              <w:spacing w:before="120" w:after="120"/>
              <w:jc w:val="both"/>
            </w:pPr>
            <w:r w:rsidRPr="00E04D8A">
              <w:t xml:space="preserve">3. </w:t>
            </w:r>
            <w:r w:rsidRPr="00BF0C79">
              <w:rPr>
                <w:b/>
              </w:rPr>
              <w:t>Нотариално заверено пълномощно</w:t>
            </w:r>
            <w:r w:rsidRPr="00E04D8A">
              <w:t>,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p>
          <w:p w14:paraId="458BBFE0" w14:textId="77777777" w:rsidR="00E04D8A" w:rsidRPr="00E04D8A" w:rsidRDefault="00E04D8A" w:rsidP="00E04D8A">
            <w:pPr>
              <w:pStyle w:val="Default"/>
              <w:spacing w:before="120" w:after="120"/>
              <w:jc w:val="both"/>
            </w:pPr>
            <w:r w:rsidRPr="00E04D8A">
              <w:t xml:space="preserve">4. </w:t>
            </w:r>
            <w:r w:rsidRPr="00BF0C79">
              <w:rPr>
                <w:b/>
              </w:rPr>
              <w:t>Декларация за минимални и държавни помощи (Приложение ІII</w:t>
            </w:r>
            <w:r w:rsidRPr="00E04D8A">
              <w:t xml:space="preserve"> от документите за попълване към Условията за кандидатстване) – </w:t>
            </w:r>
            <w:r w:rsidRPr="00BF0C79">
              <w:rPr>
                <w:b/>
              </w:rPr>
              <w:t>актуална</w:t>
            </w:r>
            <w:r w:rsidRPr="00E04D8A">
              <w:t xml:space="preserve">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14:paraId="1D4CDB41" w14:textId="77777777" w:rsidR="00E04D8A" w:rsidRPr="00E04D8A" w:rsidRDefault="00E04D8A" w:rsidP="00E04D8A">
            <w:pPr>
              <w:pStyle w:val="Default"/>
              <w:spacing w:before="120" w:after="120"/>
              <w:jc w:val="both"/>
            </w:pPr>
            <w:r w:rsidRPr="00E04D8A">
              <w:t xml:space="preserve">5. </w:t>
            </w:r>
            <w:r w:rsidRPr="00BF0C79">
              <w:rPr>
                <w:b/>
              </w:rPr>
              <w:t>Формуляр за финансова идентификация – Приложение V</w:t>
            </w:r>
            <w:r w:rsidRPr="00E04D8A">
              <w:t xml:space="preserve"> от документите към административен договор и приложения към него - в 2 оригинални екземпляра;</w:t>
            </w:r>
          </w:p>
          <w:p w14:paraId="28840F27" w14:textId="77777777" w:rsidR="00E04D8A" w:rsidRPr="00E04D8A" w:rsidRDefault="00E04D8A" w:rsidP="00E04D8A">
            <w:pPr>
              <w:pStyle w:val="Default"/>
              <w:spacing w:before="120" w:after="120"/>
              <w:jc w:val="both"/>
            </w:pPr>
            <w:r w:rsidRPr="00E04D8A">
              <w:t xml:space="preserve">6. </w:t>
            </w:r>
            <w:r w:rsidRPr="00BF0C79">
              <w:rPr>
                <w:b/>
              </w:rPr>
              <w:t>Декларация за нередности (Приложение VІ</w:t>
            </w:r>
            <w:r w:rsidRPr="00E04D8A">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p>
          <w:p w14:paraId="6D460A08" w14:textId="77777777" w:rsidR="00E04D8A" w:rsidRPr="00390DF0" w:rsidRDefault="00E04D8A" w:rsidP="00E04D8A">
            <w:pPr>
              <w:pStyle w:val="Default"/>
              <w:spacing w:before="120" w:after="120"/>
              <w:jc w:val="both"/>
              <w:rPr>
                <w:b/>
              </w:rPr>
            </w:pPr>
            <w:r w:rsidRPr="00390DF0">
              <w:rPr>
                <w:b/>
              </w:rPr>
              <w:t>ВАЖНО! Декларацията за нередности не може да се подписват от упълномощени лица, а САМО от законните представители на кандидата.</w:t>
            </w:r>
          </w:p>
          <w:p w14:paraId="32FBBDF5" w14:textId="77777777" w:rsidR="00E04D8A" w:rsidRPr="00E04D8A" w:rsidRDefault="00E04D8A" w:rsidP="00E04D8A">
            <w:pPr>
              <w:pStyle w:val="Default"/>
              <w:spacing w:before="120" w:after="120"/>
              <w:jc w:val="both"/>
            </w:pPr>
            <w:r w:rsidRPr="00E04D8A">
              <w:t xml:space="preserve">7. </w:t>
            </w:r>
            <w:r w:rsidRPr="00BF0C79">
              <w:rPr>
                <w:b/>
              </w:rPr>
              <w:t>Удостоверение за липса на задължения от общината по седалището на кандидата</w:t>
            </w:r>
            <w:r w:rsidRPr="00E04D8A">
              <w:t>, издадено не по-рано от 3 месеца преди датата на представянето му - копие, заверено от кандидата с подпис и текст „Вярно с оригинала”.</w:t>
            </w:r>
          </w:p>
          <w:p w14:paraId="7EB32CF4" w14:textId="77777777" w:rsidR="00E04D8A" w:rsidRPr="00E04D8A" w:rsidRDefault="00E04D8A" w:rsidP="00E04D8A">
            <w:pPr>
              <w:pStyle w:val="Default"/>
              <w:spacing w:before="120" w:after="120"/>
              <w:jc w:val="both"/>
            </w:pPr>
            <w:r w:rsidRPr="00E04D8A">
              <w:lastRenderedPageBreak/>
              <w:t xml:space="preserve">8. </w:t>
            </w:r>
            <w:r w:rsidRPr="00BF0C79">
              <w:rPr>
                <w:b/>
              </w:rPr>
              <w:t>За документална проверка на декларираната категория предприятие</w:t>
            </w:r>
            <w:r w:rsidRPr="00E04D8A">
              <w:t xml:space="preserve"> при сключване на договорите за предоставяне на безвъзмездна финансова помощ, одобрените кандидати следва да представят:</w:t>
            </w:r>
          </w:p>
          <w:p w14:paraId="3AD07B63" w14:textId="77777777" w:rsidR="00E04D8A" w:rsidRPr="00E04D8A" w:rsidRDefault="00E04D8A" w:rsidP="00E04D8A">
            <w:pPr>
              <w:pStyle w:val="Default"/>
              <w:spacing w:before="120" w:after="120"/>
              <w:jc w:val="both"/>
            </w:pPr>
            <w:r w:rsidRPr="00E04D8A">
              <w:t xml:space="preserve">8.1 </w:t>
            </w:r>
            <w:r w:rsidRPr="00BF0C79">
              <w:rPr>
                <w:b/>
              </w:rPr>
              <w:t>Справка за обобщените параметри на предприятието за последните две приключили финансови години</w:t>
            </w:r>
            <w:r w:rsidRPr="00E04D8A">
              <w:t xml:space="preserve"> -  оригинал или копие, заверено от кандидата (не се изисква за независими предприятия по смисъла на чл. 4, ал. 2 и ал. 4 от ЗМСП).</w:t>
            </w:r>
          </w:p>
          <w:p w14:paraId="6B1A4A6C" w14:textId="607C52BC" w:rsidR="00E04D8A" w:rsidRPr="00E04D8A" w:rsidRDefault="00E04D8A" w:rsidP="00E04D8A">
            <w:pPr>
              <w:pStyle w:val="Default"/>
              <w:spacing w:before="120" w:after="120"/>
              <w:jc w:val="both"/>
            </w:pPr>
            <w:r w:rsidRPr="00E04D8A">
              <w:t xml:space="preserve">8.2 </w:t>
            </w:r>
            <w:r w:rsidRPr="00BF0C79">
              <w:rPr>
                <w:b/>
              </w:rPr>
              <w:t>Отчет за приходите и разходите и Счетоводен баланс</w:t>
            </w:r>
            <w:r w:rsidR="003E27EA" w:rsidRPr="00BF0C79">
              <w:rPr>
                <w:rFonts w:ascii="Calibri" w:eastAsia="Calibri" w:hAnsi="Calibri"/>
                <w:b/>
                <w:color w:val="auto"/>
                <w:vertAlign w:val="superscript"/>
                <w:lang w:eastAsia="en-GB"/>
              </w:rPr>
              <w:footnoteReference w:id="15"/>
            </w:r>
            <w:r w:rsidRPr="00BF0C79">
              <w:rPr>
                <w:b/>
              </w:rPr>
              <w:t xml:space="preserve">  за две предходни приключени финансови години</w:t>
            </w:r>
            <w:r w:rsidRPr="00E04D8A">
              <w:t xml:space="preserve"> във формат идентичен на този, в който са подадени към НСИ</w:t>
            </w:r>
            <w:r w:rsidR="003E27EA" w:rsidRPr="003E27EA">
              <w:rPr>
                <w:rFonts w:ascii="Calibri" w:eastAsia="Calibri" w:hAnsi="Calibri"/>
                <w:color w:val="auto"/>
                <w:vertAlign w:val="superscript"/>
                <w:lang w:eastAsia="en-GB"/>
              </w:rPr>
              <w:footnoteReference w:id="16"/>
            </w:r>
            <w:r w:rsidRPr="00E04D8A">
              <w:t xml:space="preserve">  - оригинал или копие, заверено от кандидата;</w:t>
            </w:r>
          </w:p>
          <w:p w14:paraId="6AA5F9AF" w14:textId="707410C0" w:rsidR="00E04D8A" w:rsidRPr="00E04D8A" w:rsidRDefault="00E04D8A" w:rsidP="00E04D8A">
            <w:pPr>
              <w:pStyle w:val="Default"/>
              <w:spacing w:before="120" w:after="120"/>
              <w:jc w:val="both"/>
            </w:pPr>
            <w:r w:rsidRPr="00E04D8A">
              <w:t xml:space="preserve">8.3 </w:t>
            </w:r>
            <w:r w:rsidRPr="00BF0C79">
              <w:rPr>
                <w:b/>
              </w:rPr>
              <w:t>Отчет за заетите лица, средствата за работна заплата и други разходи за труд</w:t>
            </w:r>
            <w:r w:rsidR="003E27EA" w:rsidRPr="00BF0C79">
              <w:rPr>
                <w:rFonts w:ascii="Calibri" w:eastAsia="Calibri" w:hAnsi="Calibri"/>
                <w:b/>
                <w:color w:val="auto"/>
                <w:vertAlign w:val="superscript"/>
                <w:lang w:eastAsia="en-GB"/>
              </w:rPr>
              <w:footnoteReference w:id="17"/>
            </w:r>
            <w:r w:rsidRPr="00BF0C79">
              <w:rPr>
                <w:b/>
              </w:rPr>
              <w:t xml:space="preserve">  за последните две приключили финансови години</w:t>
            </w:r>
            <w:r w:rsidRPr="00E04D8A">
              <w:t xml:space="preserve"> преди представянето им във формат идентичен на този, в който са подадени към НСИ - копие, заверено от кандидата. </w:t>
            </w:r>
          </w:p>
          <w:p w14:paraId="7C689081" w14:textId="77777777" w:rsidR="00E04D8A" w:rsidRPr="00E04D8A" w:rsidRDefault="00E04D8A" w:rsidP="00E04D8A">
            <w:pPr>
              <w:pStyle w:val="Default"/>
              <w:spacing w:before="120" w:after="120"/>
              <w:jc w:val="both"/>
            </w:pPr>
            <w:r w:rsidRPr="00E04D8A">
              <w:t>В случай че документите по т. 8.2 и 8.3 са подадени към  Националния статистически институт (НСИ), се извършва служебна проверка.</w:t>
            </w:r>
          </w:p>
          <w:p w14:paraId="527C8E36" w14:textId="77777777" w:rsidR="00E04D8A" w:rsidRPr="00E04D8A" w:rsidRDefault="00E04D8A" w:rsidP="00E04D8A">
            <w:pPr>
              <w:pStyle w:val="Default"/>
              <w:spacing w:before="120" w:after="120"/>
              <w:jc w:val="both"/>
            </w:pPr>
            <w:r w:rsidRPr="00E04D8A">
              <w:t xml:space="preserve">9. </w:t>
            </w:r>
            <w:r w:rsidRPr="00BF0C79">
              <w:rPr>
                <w:b/>
              </w:rPr>
              <w:t xml:space="preserve">Заявление за профил за достъп на ръководител на бенефициента до ИСУН 2020 </w:t>
            </w:r>
            <w:r w:rsidRPr="00BF0C79">
              <w:rPr>
                <w:b/>
                <w:u w:val="single"/>
              </w:rPr>
              <w:t>и/или</w:t>
            </w:r>
            <w:r w:rsidRPr="00BF0C79">
              <w:rPr>
                <w:b/>
              </w:rPr>
              <w:t xml:space="preserve"> Заявление за профил за достъп на упълномощени от бенефициента лица до ИСУН 2020</w:t>
            </w:r>
            <w:r w:rsidRPr="00E04D8A">
              <w:t xml:space="preserve"> – подписани от лицето/ата, вписани като представляващи предприятието в Търговския регистър и РЮЛНЦ или определени като такива в учредителен акт, когато тези обстоятелства не подлежат на вписване (Приложения към административния договор и приложения към него).</w:t>
            </w:r>
          </w:p>
          <w:p w14:paraId="0F689672" w14:textId="77777777" w:rsidR="00E04D8A" w:rsidRPr="00390DF0" w:rsidRDefault="00E04D8A" w:rsidP="00E04D8A">
            <w:pPr>
              <w:pStyle w:val="Default"/>
              <w:spacing w:before="120" w:after="120"/>
              <w:jc w:val="both"/>
              <w:rPr>
                <w:b/>
              </w:rPr>
            </w:pPr>
            <w:r w:rsidRPr="00E04D8A">
              <w:t xml:space="preserve"> </w:t>
            </w:r>
            <w:r w:rsidRPr="00390DF0">
              <w:rPr>
                <w:b/>
              </w:rPr>
              <w:t>Преди сключване на административен договор УО извършва следните служебни проверки:</w:t>
            </w:r>
          </w:p>
          <w:p w14:paraId="3A604B50" w14:textId="77777777" w:rsidR="00E04D8A" w:rsidRPr="00E04D8A" w:rsidRDefault="00E04D8A" w:rsidP="00E04D8A">
            <w:pPr>
              <w:pStyle w:val="Default"/>
              <w:spacing w:before="120" w:after="120"/>
              <w:jc w:val="both"/>
            </w:pPr>
            <w:r w:rsidRPr="00E04D8A">
              <w:t xml:space="preserve">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w:t>
            </w:r>
          </w:p>
          <w:p w14:paraId="1B3602DF" w14:textId="77777777" w:rsidR="00E04D8A" w:rsidRPr="00E04D8A" w:rsidRDefault="00E04D8A" w:rsidP="00E04D8A">
            <w:pPr>
              <w:pStyle w:val="Default"/>
              <w:spacing w:before="120" w:after="120"/>
              <w:jc w:val="both"/>
            </w:pPr>
            <w:r w:rsidRPr="00E04D8A">
              <w:t>2. Проверка относно обстоятелствата по чл. 54, ал.1, т. 6 от ЗОП.  Проверката се извършва чрез изискване на информация от ИА „Главна инспекция по труда“.</w:t>
            </w:r>
          </w:p>
          <w:p w14:paraId="0218F171" w14:textId="77777777" w:rsidR="00E04D8A" w:rsidRPr="00E04D8A" w:rsidRDefault="00E04D8A" w:rsidP="00E04D8A">
            <w:pPr>
              <w:pStyle w:val="Default"/>
              <w:spacing w:before="120" w:after="120"/>
              <w:jc w:val="both"/>
            </w:pPr>
            <w:r w:rsidRPr="00E04D8A">
              <w:t xml:space="preserve">3. Проверка чрез издаване на електронно свидетелство за съдимост на всички лица, които са овластени да представляват кандидата,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Проверката се извършва и по отношение на </w:t>
            </w:r>
            <w:r w:rsidRPr="00E04D8A">
              <w:lastRenderedPageBreak/>
              <w:t>лицето, упълномощено/оправомощено да подпише договора.</w:t>
            </w:r>
          </w:p>
          <w:p w14:paraId="11F33A05" w14:textId="77777777" w:rsidR="00E04D8A" w:rsidRPr="00E04D8A" w:rsidRDefault="00E04D8A" w:rsidP="00E04D8A">
            <w:pPr>
              <w:pStyle w:val="Default"/>
              <w:spacing w:before="120" w:after="120"/>
              <w:jc w:val="both"/>
            </w:pPr>
            <w:r w:rsidRPr="00E04D8A">
              <w:t>Електронното служебно свидетелство за съдимост се издава за лица, за които не са съставяни бюлетини за съдимост, включително и по чл. 78а НК. В останалите случаи, както и за лицата, родени в чужбина, свидетелство за съдимост се издава по общоустановения ред.</w:t>
            </w:r>
          </w:p>
          <w:p w14:paraId="3B058D9D" w14:textId="77777777" w:rsidR="00E04D8A" w:rsidRPr="00E04D8A" w:rsidRDefault="00E04D8A" w:rsidP="00E04D8A">
            <w:pPr>
              <w:pStyle w:val="Default"/>
              <w:spacing w:before="120" w:after="120"/>
              <w:jc w:val="both"/>
            </w:pPr>
            <w:r w:rsidRPr="00E04D8A">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5F168890" w14:textId="77777777" w:rsidR="00E04D8A" w:rsidRPr="00E04D8A" w:rsidRDefault="00E04D8A" w:rsidP="00E04D8A">
            <w:pPr>
              <w:pStyle w:val="Default"/>
              <w:spacing w:before="120" w:after="120"/>
              <w:jc w:val="both"/>
            </w:pPr>
            <w:r w:rsidRPr="00E04D8A">
              <w:t>Съгласно т. 15. от ДР на ЗОП "Законодателство на държавата, в която кандидатът или участникът е установен" е:</w:t>
            </w:r>
          </w:p>
          <w:p w14:paraId="7E81F5EB" w14:textId="77777777" w:rsidR="00E04D8A" w:rsidRPr="00E04D8A" w:rsidRDefault="00E04D8A" w:rsidP="00E04D8A">
            <w:pPr>
              <w:pStyle w:val="Default"/>
              <w:spacing w:before="120" w:after="120"/>
              <w:jc w:val="both"/>
            </w:pPr>
            <w:r w:rsidRPr="00E04D8A">
              <w:t>а) за физическите лица - отечественото им право по смисъла на чл. 48 от Кодекса на международното частно право;</w:t>
            </w:r>
          </w:p>
          <w:p w14:paraId="5AC43101" w14:textId="77777777" w:rsidR="00E04D8A" w:rsidRPr="00E04D8A" w:rsidRDefault="00E04D8A" w:rsidP="00E04D8A">
            <w:pPr>
              <w:pStyle w:val="Default"/>
              <w:spacing w:before="120" w:after="120"/>
              <w:jc w:val="both"/>
            </w:pPr>
            <w:r w:rsidRPr="00E04D8A">
              <w:t>Съгласно чл. 48 от КМЧП, ал. 1 По смисъла на този кодекс отечествено право на лицето е правото на държавата, чийто гражданин е то.</w:t>
            </w:r>
          </w:p>
          <w:p w14:paraId="3398DE49" w14:textId="77777777" w:rsidR="00E04D8A" w:rsidRPr="00E04D8A" w:rsidRDefault="00E04D8A" w:rsidP="00E04D8A">
            <w:pPr>
              <w:pStyle w:val="Default"/>
              <w:spacing w:before="120" w:after="120"/>
              <w:jc w:val="both"/>
            </w:pPr>
            <w:r w:rsidRPr="00E04D8A">
              <w:t>(2) Отечествено право на лице с две или повече гражданства, едното от които е българско, е българското право.</w:t>
            </w:r>
          </w:p>
          <w:p w14:paraId="0A947814" w14:textId="77777777" w:rsidR="00E04D8A" w:rsidRPr="00E04D8A" w:rsidRDefault="00E04D8A" w:rsidP="00E04D8A">
            <w:pPr>
              <w:pStyle w:val="Default"/>
              <w:spacing w:before="120" w:after="120"/>
              <w:jc w:val="both"/>
            </w:pPr>
            <w:r w:rsidRPr="00E04D8A">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7CCF5DC5" w14:textId="77777777" w:rsidR="00E04D8A" w:rsidRPr="00E04D8A" w:rsidRDefault="00E04D8A" w:rsidP="00E04D8A">
            <w:pPr>
              <w:pStyle w:val="Default"/>
              <w:spacing w:before="120" w:after="120"/>
              <w:jc w:val="both"/>
            </w:pPr>
            <w:r w:rsidRPr="00E04D8A">
              <w:t>(4) По смисъла на този кодекс отечествено право на лице без гражданство е правото на държавата, в която е неговото обичайно местопребиваване.</w:t>
            </w:r>
          </w:p>
          <w:p w14:paraId="3A4D4BD9" w14:textId="77777777" w:rsidR="00E04D8A" w:rsidRPr="00E04D8A" w:rsidRDefault="00E04D8A" w:rsidP="00E04D8A">
            <w:pPr>
              <w:pStyle w:val="Default"/>
              <w:spacing w:before="120" w:after="120"/>
              <w:jc w:val="both"/>
            </w:pPr>
            <w:r w:rsidRPr="00E04D8A">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42639248" w14:textId="77777777" w:rsidR="00E04D8A" w:rsidRPr="00E04D8A" w:rsidRDefault="00E04D8A" w:rsidP="00E04D8A">
            <w:pPr>
              <w:pStyle w:val="Default"/>
              <w:spacing w:before="120" w:after="120"/>
              <w:jc w:val="both"/>
            </w:pPr>
            <w:r w:rsidRPr="00E04D8A">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00EFB4D1" w14:textId="77777777" w:rsidR="00E04D8A" w:rsidRPr="00E04D8A" w:rsidRDefault="00E04D8A" w:rsidP="00E04D8A">
            <w:pPr>
              <w:pStyle w:val="Default"/>
              <w:spacing w:before="120" w:after="120"/>
              <w:jc w:val="both"/>
            </w:pPr>
            <w:r w:rsidRPr="00E04D8A">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06F8758B" w14:textId="77777777" w:rsidR="00E04D8A" w:rsidRPr="00E04D8A" w:rsidRDefault="00E04D8A" w:rsidP="00E04D8A">
            <w:pPr>
              <w:pStyle w:val="Default"/>
              <w:spacing w:before="120" w:after="120"/>
              <w:jc w:val="both"/>
            </w:pPr>
            <w:r w:rsidRPr="00E04D8A">
              <w:t>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https://www.mfa.bg/bg/uslugi-patuvania/konsulski-uslugi/zaverki-legalizacia/obshta-informatsia.</w:t>
            </w:r>
          </w:p>
          <w:p w14:paraId="04C21125" w14:textId="77777777" w:rsidR="00E04D8A" w:rsidRPr="00E04D8A" w:rsidRDefault="00E04D8A" w:rsidP="00E04D8A">
            <w:pPr>
              <w:pStyle w:val="Default"/>
              <w:spacing w:before="120" w:after="120"/>
              <w:jc w:val="both"/>
            </w:pPr>
          </w:p>
          <w:p w14:paraId="24186789" w14:textId="04633B02" w:rsidR="00E04D8A" w:rsidRPr="00E04D8A" w:rsidRDefault="00E04D8A" w:rsidP="00E04D8A">
            <w:pPr>
              <w:pStyle w:val="Default"/>
              <w:spacing w:before="120" w:after="120"/>
              <w:jc w:val="both"/>
            </w:pPr>
            <w:r w:rsidRPr="00E04D8A">
              <w:t>4.</w:t>
            </w:r>
            <w:r w:rsidR="00BF0C79">
              <w:t xml:space="preserve"> </w:t>
            </w:r>
            <w:r w:rsidRPr="00E04D8A">
              <w:t>Проверка за задължения от Столична община за местни данъци и такси. Извършва се по отношение на кандидата.</w:t>
            </w:r>
          </w:p>
          <w:p w14:paraId="5748BF9B" w14:textId="77777777" w:rsidR="00E04D8A" w:rsidRPr="00E04D8A" w:rsidRDefault="00E04D8A" w:rsidP="00E04D8A">
            <w:pPr>
              <w:pStyle w:val="Default"/>
              <w:spacing w:before="120" w:after="120"/>
              <w:jc w:val="both"/>
            </w:pPr>
            <w:r w:rsidRPr="00E04D8A">
              <w:lastRenderedPageBreak/>
              <w:t>5.</w:t>
            </w:r>
            <w:r w:rsidRPr="00E04D8A">
              <w:tab/>
              <w:t>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1CEB94C9" w14:textId="77777777" w:rsidR="00E04D8A" w:rsidRPr="00E04D8A" w:rsidRDefault="00E04D8A" w:rsidP="00E04D8A">
            <w:pPr>
              <w:pStyle w:val="Default"/>
              <w:spacing w:before="120" w:after="120"/>
              <w:jc w:val="both"/>
            </w:pPr>
            <w:r w:rsidRPr="00E04D8A">
              <w:t>6.</w:t>
            </w:r>
            <w:r w:rsidRPr="00E04D8A">
              <w:tab/>
              <w:t>Проверка за липса на двойно финансиране.</w:t>
            </w:r>
          </w:p>
          <w:p w14:paraId="14B79B5E" w14:textId="410B6361" w:rsidR="00E04D8A" w:rsidRPr="00E04D8A" w:rsidRDefault="00E04D8A" w:rsidP="00E04D8A">
            <w:pPr>
              <w:pStyle w:val="Default"/>
              <w:spacing w:before="120" w:after="120"/>
              <w:jc w:val="both"/>
            </w:pPr>
            <w:r w:rsidRPr="00E04D8A">
              <w:t>7.</w:t>
            </w:r>
            <w:r w:rsidRPr="00E04D8A">
              <w:tab/>
              <w:t xml:space="preserve">Проверка на декларираните от кандидата кодове на икономическа дейност </w:t>
            </w:r>
            <w:r w:rsidR="00836DF8">
              <w:rPr>
                <w:lang w:val="en-US"/>
              </w:rPr>
              <w:t xml:space="preserve"> и категори</w:t>
            </w:r>
            <w:r w:rsidR="00836DF8">
              <w:t>я</w:t>
            </w:r>
            <w:r w:rsidR="00836DF8">
              <w:rPr>
                <w:lang w:val="en-US"/>
              </w:rPr>
              <w:t xml:space="preserve">та </w:t>
            </w:r>
            <w:r w:rsidRPr="00E04D8A">
              <w:t>на предприятието. Информацията се изисква по служебен път от НСИ.</w:t>
            </w:r>
          </w:p>
          <w:p w14:paraId="62D02F67" w14:textId="77777777" w:rsidR="00E04D8A" w:rsidRPr="00E04D8A" w:rsidRDefault="00E04D8A" w:rsidP="00E04D8A">
            <w:pPr>
              <w:pStyle w:val="Default"/>
              <w:spacing w:before="120" w:after="120"/>
              <w:jc w:val="both"/>
            </w:pPr>
          </w:p>
          <w:p w14:paraId="67B75C7B" w14:textId="77777777" w:rsidR="00E04D8A" w:rsidRPr="00E04D8A" w:rsidRDefault="00E04D8A" w:rsidP="00E04D8A">
            <w:pPr>
              <w:pStyle w:val="Default"/>
              <w:spacing w:before="120" w:after="120"/>
              <w:jc w:val="both"/>
            </w:pPr>
            <w:r w:rsidRPr="00E04D8A">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в Декларацията за минимални и държавни помощи, включително и относно посочената от кандидата категория на предприятието, съгласно Закона за малките и средните предприятия.</w:t>
            </w:r>
          </w:p>
          <w:p w14:paraId="0063C144" w14:textId="77777777" w:rsidR="00E04D8A" w:rsidRPr="00E04D8A" w:rsidRDefault="00E04D8A" w:rsidP="00E04D8A">
            <w:pPr>
              <w:pStyle w:val="Default"/>
              <w:spacing w:before="120" w:after="120"/>
              <w:jc w:val="both"/>
            </w:pPr>
            <w:r w:rsidRPr="00E04D8A">
              <w:t>Във връзка с проверката на обстоятелствата по чл. 2, ал. 2 на Регламент (ЕС) № 1407/2013 („едно и също предприятие”) и с категорията на предприятието, Управляващият орган или неговият изпълнител може да изискат от кандидата някои от следните документи:</w:t>
            </w:r>
          </w:p>
          <w:p w14:paraId="0DF9F45F" w14:textId="77777777" w:rsidR="00E04D8A" w:rsidRPr="00E04D8A" w:rsidRDefault="00E04D8A" w:rsidP="00E04D8A">
            <w:pPr>
              <w:pStyle w:val="Default"/>
              <w:spacing w:before="120" w:after="120"/>
              <w:jc w:val="both"/>
            </w:pPr>
            <w:r w:rsidRPr="00E04D8A">
              <w:t>-</w:t>
            </w:r>
            <w:r w:rsidRPr="00E04D8A">
              <w:tab/>
              <w:t>Устав и/или друг еквивалентен документ;</w:t>
            </w:r>
          </w:p>
          <w:p w14:paraId="49208980" w14:textId="77777777" w:rsidR="00E04D8A" w:rsidRPr="00E04D8A" w:rsidRDefault="00E04D8A" w:rsidP="00E04D8A">
            <w:pPr>
              <w:pStyle w:val="Default"/>
              <w:spacing w:before="120" w:after="120"/>
              <w:jc w:val="both"/>
            </w:pPr>
            <w:r w:rsidRPr="00E04D8A">
              <w:t>-</w:t>
            </w:r>
            <w:r w:rsidRPr="00E04D8A">
              <w:tab/>
              <w:t>Книга за акционерите - приложимо за акционерните дружества с поименни акции;</w:t>
            </w:r>
          </w:p>
          <w:p w14:paraId="0047C30F" w14:textId="77777777" w:rsidR="00E04D8A" w:rsidRPr="00E04D8A" w:rsidRDefault="00E04D8A" w:rsidP="00E04D8A">
            <w:pPr>
              <w:pStyle w:val="Default"/>
              <w:spacing w:before="120" w:after="120"/>
              <w:jc w:val="both"/>
            </w:pPr>
            <w:r w:rsidRPr="00E04D8A">
              <w:t>-</w:t>
            </w:r>
            <w:r w:rsidRPr="00E04D8A">
              <w:tab/>
              <w:t>Актуална справка за разпределението на капитала на дружеството - приложимо за акционерните дружества;</w:t>
            </w:r>
          </w:p>
          <w:p w14:paraId="5C12CE0B" w14:textId="77777777" w:rsidR="00E04D8A" w:rsidRPr="00E04D8A" w:rsidRDefault="00E04D8A" w:rsidP="00E04D8A">
            <w:pPr>
              <w:pStyle w:val="Default"/>
              <w:spacing w:before="120" w:after="120"/>
              <w:jc w:val="both"/>
            </w:pPr>
            <w:r w:rsidRPr="00E04D8A">
              <w:t>-</w:t>
            </w:r>
            <w:r w:rsidRPr="00E04D8A">
              <w:tab/>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587773A8" w14:textId="77777777" w:rsidR="00E04D8A" w:rsidRPr="00E04D8A" w:rsidRDefault="00E04D8A" w:rsidP="00E04D8A">
            <w:pPr>
              <w:pStyle w:val="Default"/>
              <w:spacing w:before="120" w:after="120"/>
              <w:jc w:val="both"/>
            </w:pPr>
            <w:r w:rsidRPr="00E04D8A">
              <w:t>-</w:t>
            </w:r>
            <w:r w:rsidRPr="00E04D8A">
              <w:tab/>
              <w:t>Книга за акционерите и устав - приложимо за командитните дружества с акции;</w:t>
            </w:r>
          </w:p>
          <w:p w14:paraId="799CDF53" w14:textId="77777777" w:rsidR="00E04D8A" w:rsidRPr="00E04D8A" w:rsidRDefault="00E04D8A" w:rsidP="00E04D8A">
            <w:pPr>
              <w:pStyle w:val="Default"/>
              <w:spacing w:before="120" w:after="120"/>
              <w:jc w:val="both"/>
            </w:pPr>
            <w:r w:rsidRPr="00E04D8A">
              <w:t>-</w:t>
            </w:r>
            <w:r w:rsidRPr="00E04D8A">
              <w:tab/>
              <w:t>споразумение или договор по Закона за задълженията и договорите;</w:t>
            </w:r>
          </w:p>
          <w:p w14:paraId="1230778E" w14:textId="77777777" w:rsidR="00E04D8A" w:rsidRPr="00E04D8A" w:rsidRDefault="00E04D8A" w:rsidP="00E04D8A">
            <w:pPr>
              <w:pStyle w:val="Default"/>
              <w:spacing w:before="120" w:after="120"/>
              <w:jc w:val="both"/>
            </w:pPr>
            <w:r w:rsidRPr="00E04D8A">
              <w:t>-</w:t>
            </w:r>
            <w:r w:rsidRPr="00E04D8A">
              <w:tab/>
              <w:t>договори за предоставяне или ограничаване на права;</w:t>
            </w:r>
          </w:p>
          <w:p w14:paraId="68673490" w14:textId="77777777" w:rsidR="00E04D8A" w:rsidRPr="00E04D8A" w:rsidRDefault="00E04D8A" w:rsidP="00E04D8A">
            <w:pPr>
              <w:pStyle w:val="Default"/>
              <w:spacing w:before="120" w:after="120"/>
              <w:jc w:val="both"/>
            </w:pPr>
            <w:r w:rsidRPr="00E04D8A">
              <w:t>-</w:t>
            </w:r>
            <w:r w:rsidRPr="00E04D8A">
              <w:tab/>
              <w:t>договори за встъпване в права и задължения;</w:t>
            </w:r>
          </w:p>
          <w:p w14:paraId="5A585812" w14:textId="77777777" w:rsidR="00E04D8A" w:rsidRPr="00E04D8A" w:rsidRDefault="00E04D8A" w:rsidP="00E04D8A">
            <w:pPr>
              <w:pStyle w:val="Default"/>
              <w:spacing w:before="120" w:after="120"/>
              <w:jc w:val="both"/>
            </w:pPr>
            <w:r w:rsidRPr="00E04D8A">
              <w:t>-</w:t>
            </w:r>
            <w:r w:rsidRPr="00E04D8A">
              <w:tab/>
              <w:t>други.</w:t>
            </w:r>
          </w:p>
          <w:p w14:paraId="0A3789A0" w14:textId="77777777" w:rsidR="00E04D8A" w:rsidRPr="00E04D8A" w:rsidRDefault="00E04D8A" w:rsidP="00E04D8A">
            <w:pPr>
              <w:pStyle w:val="Default"/>
              <w:spacing w:before="120" w:after="120"/>
              <w:jc w:val="both"/>
            </w:pPr>
            <w:r w:rsidRPr="00E04D8A">
              <w:t>Във връзка с проверките по т. 24.7, УО може да изиска и допълнителни документи от кандидатите.</w:t>
            </w:r>
          </w:p>
          <w:p w14:paraId="0FA785DC" w14:textId="77777777" w:rsidR="00E04D8A" w:rsidRPr="00390DF0" w:rsidRDefault="00E04D8A" w:rsidP="00E04D8A">
            <w:pPr>
              <w:pStyle w:val="Default"/>
              <w:spacing w:before="120" w:after="120"/>
              <w:jc w:val="both"/>
              <w:rPr>
                <w:b/>
              </w:rPr>
            </w:pPr>
            <w:r w:rsidRPr="00390DF0">
              <w:rPr>
                <w:b/>
              </w:rPr>
              <w:t xml:space="preserve">Управляващият орган ще откаже да сключи договор с кандидат, в случай че: </w:t>
            </w:r>
          </w:p>
          <w:p w14:paraId="28C70E62" w14:textId="77777777" w:rsidR="00E04D8A" w:rsidRPr="00E04D8A" w:rsidRDefault="00E04D8A" w:rsidP="00E04D8A">
            <w:pPr>
              <w:pStyle w:val="Default"/>
              <w:spacing w:before="120" w:after="120"/>
              <w:jc w:val="both"/>
            </w:pPr>
            <w:r w:rsidRPr="00E04D8A">
              <w:t>•</w:t>
            </w:r>
            <w:r w:rsidRPr="00E04D8A">
              <w:tab/>
              <w:t>Кандидатът има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(За целта ще бъде извършена служебна проверка от УО);</w:t>
            </w:r>
          </w:p>
          <w:p w14:paraId="777F87AF" w14:textId="77777777" w:rsidR="00E04D8A" w:rsidRPr="00E04D8A" w:rsidRDefault="00E04D8A" w:rsidP="00E04D8A">
            <w:pPr>
              <w:pStyle w:val="Default"/>
              <w:spacing w:before="120" w:after="120"/>
              <w:jc w:val="both"/>
            </w:pPr>
            <w:r w:rsidRPr="00E04D8A">
              <w:t>•</w:t>
            </w:r>
            <w:r w:rsidRPr="00E04D8A">
              <w:tab/>
              <w:t>Се установи надхвърляне на прага на допустимите минимални/държавни помощи;</w:t>
            </w:r>
          </w:p>
          <w:p w14:paraId="72854CB7" w14:textId="77777777" w:rsidR="00E04D8A" w:rsidRPr="00E04D8A" w:rsidRDefault="00E04D8A" w:rsidP="00E04D8A">
            <w:pPr>
              <w:pStyle w:val="Default"/>
              <w:spacing w:before="120" w:after="120"/>
              <w:jc w:val="both"/>
            </w:pPr>
            <w:r w:rsidRPr="00E04D8A">
              <w:t>•</w:t>
            </w:r>
            <w:r w:rsidRPr="00E04D8A">
              <w:tab/>
              <w:t>Се установи, че кандидатът е голямо предприятие по смисъла на Закона за малките и средните предприятия;</w:t>
            </w:r>
          </w:p>
          <w:p w14:paraId="7EDD0A54" w14:textId="77777777" w:rsidR="00E04D8A" w:rsidRPr="00E04D8A" w:rsidRDefault="00E04D8A" w:rsidP="00E04D8A">
            <w:pPr>
              <w:pStyle w:val="Default"/>
              <w:spacing w:before="120" w:after="120"/>
              <w:jc w:val="both"/>
            </w:pPr>
            <w:r w:rsidRPr="00E04D8A">
              <w:t>•</w:t>
            </w:r>
            <w:r w:rsidRPr="00E04D8A">
              <w:tab/>
              <w:t>Кандидатът попада в забранителния режим съгласно Регламент (ЕС) №1407/2013;</w:t>
            </w:r>
          </w:p>
          <w:p w14:paraId="00E2307B" w14:textId="77777777" w:rsidR="00E04D8A" w:rsidRPr="00E04D8A" w:rsidRDefault="00E04D8A" w:rsidP="00E04D8A">
            <w:pPr>
              <w:pStyle w:val="Default"/>
              <w:spacing w:before="120" w:after="120"/>
              <w:jc w:val="both"/>
            </w:pPr>
            <w:r w:rsidRPr="00E04D8A">
              <w:lastRenderedPageBreak/>
              <w:t>•</w:t>
            </w:r>
            <w:r w:rsidRPr="00E04D8A">
              <w:tab/>
              <w:t xml:space="preserve">Се установи, че кандидатът е декларирал неверни обстоятелства в Декларацията на кандидата или Декларацията за минимални и държавни помощи; </w:t>
            </w:r>
          </w:p>
          <w:p w14:paraId="006A8AD2" w14:textId="77777777" w:rsidR="00E04D8A" w:rsidRPr="00E04D8A" w:rsidRDefault="00E04D8A" w:rsidP="00E04D8A">
            <w:pPr>
              <w:pStyle w:val="Default"/>
              <w:spacing w:before="120" w:after="120"/>
              <w:jc w:val="both"/>
            </w:pPr>
            <w:r w:rsidRPr="00E04D8A">
              <w:t>•</w:t>
            </w:r>
            <w:r w:rsidRPr="00E04D8A">
              <w:tab/>
              <w:t>Към момента на сключване на административния договор по настоящата процедура, кандидатът не е представил някой от изискваните документи;</w:t>
            </w:r>
          </w:p>
          <w:p w14:paraId="125C4D3F" w14:textId="77777777" w:rsidR="00884F83" w:rsidRPr="00884F83" w:rsidRDefault="00E04D8A" w:rsidP="00E04D8A">
            <w:pPr>
              <w:pStyle w:val="Default"/>
              <w:spacing w:before="120" w:after="120"/>
              <w:jc w:val="both"/>
              <w:rPr>
                <w:b/>
              </w:rPr>
            </w:pPr>
            <w:r w:rsidRPr="00E04D8A">
              <w:t>•</w:t>
            </w:r>
            <w:r w:rsidRPr="00E04D8A">
              <w:tab/>
              <w:t>Имат задължения/просрочени задължения за данъци и задължителни осигурителни вноски.</w:t>
            </w:r>
          </w:p>
        </w:tc>
      </w:tr>
    </w:tbl>
    <w:p w14:paraId="3CBF8FAD" w14:textId="77777777" w:rsidR="00D67E90" w:rsidRPr="00A129AF" w:rsidRDefault="004E418C" w:rsidP="003A2D4B">
      <w:pPr>
        <w:pStyle w:val="Heading2"/>
      </w:pPr>
      <w:bookmarkStart w:id="55" w:name="_Toc445385633"/>
      <w:r>
        <w:lastRenderedPageBreak/>
        <w:t>24.8</w:t>
      </w:r>
      <w:r w:rsidR="00D67E90" w:rsidRPr="00A129AF">
        <w:t xml:space="preserve">. Уведомяване относно решението на </w:t>
      </w:r>
      <w:r w:rsidR="00805B27">
        <w:t>Управляващия</w:t>
      </w:r>
      <w:r w:rsidR="00805B27" w:rsidRPr="00A129AF">
        <w:t xml:space="preserve"> </w:t>
      </w:r>
      <w:r w:rsidR="00D67E90" w:rsidRPr="00A129AF">
        <w:t>орган</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D67E90" w:rsidRPr="008F724D" w14:paraId="37A9CA10" w14:textId="77777777">
        <w:tc>
          <w:tcPr>
            <w:tcW w:w="9496" w:type="dxa"/>
          </w:tcPr>
          <w:p w14:paraId="1BF7B50B"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Кандидатите ще бъдат уведомени писмено относно решението на ръководителя на УО във връзка с тяхното проектно предложение. Уведомлението се изпраща по електронен път на електронната поща, посочена за кореспонденция в проектното предложение.</w:t>
            </w:r>
          </w:p>
          <w:p w14:paraId="08E92EA2"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След одобряване на оценителния доклад, УО поканва одобрените кандидати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30 дни.</w:t>
            </w:r>
          </w:p>
          <w:p w14:paraId="74AEA2D6"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6AA9EF77"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14548EA9"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0AF1A87D"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Местните инициативни групи, одобрили проекта, подписват договора като трета страна.</w:t>
            </w:r>
          </w:p>
          <w:p w14:paraId="73D974A3"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p>
          <w:p w14:paraId="785C7803"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УО уведомява писмено кандидатите, чиито проектни предложения са отхвърлени или са в резервния списък в срок до 3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0E751363"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 xml:space="preserve">Уведомяването на неуспелите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w:t>
            </w:r>
            <w:r w:rsidRPr="0064033C">
              <w:rPr>
                <w:rFonts w:ascii="Times New Roman" w:eastAsia="Times New Roman" w:hAnsi="Times New Roman"/>
                <w:iCs/>
                <w:sz w:val="24"/>
                <w:szCs w:val="24"/>
                <w:lang w:eastAsia="bg-BG"/>
              </w:rPr>
              <w:lastRenderedPageBreak/>
              <w:t>от самите кандидати, те не получават кореспонденцията.</w:t>
            </w:r>
          </w:p>
          <w:p w14:paraId="3C758007"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Председателят на МИГ прекратява със заповед процедурите на подбор на проекти, в случаите при които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14:paraId="02BD55D4"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В процеса на реализиране на стратегията за ВОМР, МИГ провежда разяснителна кампания, чрез печатните и/или електронните медии, специални срещи с потенциални бенефициенти, информационни дни, издаване на информационни материали, отговаряне на въпроси, зададени на електронната страница на МИГ.</w:t>
            </w:r>
          </w:p>
          <w:p w14:paraId="34924BDB"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Информирането на потенциалните кандидати от територията на МИГ може да се състои в една или всички от следните дейности:</w:t>
            </w:r>
          </w:p>
          <w:p w14:paraId="6B74DFFC" w14:textId="77777777" w:rsidR="0064033C" w:rsidRPr="0064033C" w:rsidRDefault="0064033C" w:rsidP="0064033C">
            <w:pPr>
              <w:pStyle w:val="ListParagraph"/>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1. Информиране чрез медиите/интернет страница на МИГ, относно процедурите и критериите за предоставяне на финансова помощ;</w:t>
            </w:r>
          </w:p>
          <w:p w14:paraId="7DC1A5B4" w14:textId="77777777" w:rsidR="0064033C" w:rsidRPr="0064033C" w:rsidRDefault="0064033C" w:rsidP="0064033C">
            <w:pPr>
              <w:pStyle w:val="ListParagraph"/>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2. Организиране на обучения и/или информационни срещи с потенциални бенефициенти;</w:t>
            </w:r>
          </w:p>
          <w:p w14:paraId="08FEDE9C" w14:textId="77777777" w:rsidR="0064033C" w:rsidRPr="0064033C" w:rsidRDefault="0064033C" w:rsidP="0064033C">
            <w:pPr>
              <w:pStyle w:val="ListParagraph"/>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3. Отговори на запитвания от страна на потенциални кандидати за финансово подпомагане;</w:t>
            </w:r>
          </w:p>
          <w:p w14:paraId="34AEAFA9" w14:textId="77777777" w:rsidR="0064033C" w:rsidRPr="0064033C" w:rsidRDefault="0064033C" w:rsidP="0064033C">
            <w:pPr>
              <w:pStyle w:val="ListParagraph"/>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4. Публикуване на списък със всички задавани въпроси и техните отговори на интернет страницата на МИГ;</w:t>
            </w:r>
          </w:p>
          <w:p w14:paraId="2C95A795" w14:textId="77777777" w:rsidR="0064033C" w:rsidRPr="0064033C" w:rsidRDefault="0064033C" w:rsidP="0064033C">
            <w:pPr>
              <w:pStyle w:val="ListParagraph"/>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5. Печатни материали: указания; документи; брошури; дипляни; плакати или други материали</w:t>
            </w:r>
          </w:p>
          <w:p w14:paraId="044ADA05" w14:textId="77777777" w:rsidR="0064033C" w:rsidRPr="0064033C" w:rsidRDefault="0064033C" w:rsidP="0064033C">
            <w:pPr>
              <w:pStyle w:val="ListParagraph"/>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 xml:space="preserve">Графици, обяви и покани за информационни дни и обучения се публикуват на сайта на МИГ. </w:t>
            </w:r>
          </w:p>
          <w:p w14:paraId="469AB1F4" w14:textId="77777777" w:rsidR="0064033C" w:rsidRPr="008F724D" w:rsidRDefault="0064033C" w:rsidP="0064033C">
            <w:pPr>
              <w:pStyle w:val="ListParagraph"/>
              <w:spacing w:before="120" w:after="120" w:line="240" w:lineRule="auto"/>
              <w:ind w:left="0"/>
              <w:contextualSpacing w:val="0"/>
              <w:jc w:val="both"/>
              <w:rPr>
                <w:rFonts w:ascii="Times New Roman" w:eastAsia="Times New Roman" w:hAnsi="Times New Roman"/>
                <w:i/>
                <w:iCs/>
                <w:sz w:val="24"/>
                <w:szCs w:val="24"/>
                <w:lang w:eastAsia="bg-BG"/>
              </w:rPr>
            </w:pPr>
            <w:r w:rsidRPr="0064033C">
              <w:rPr>
                <w:rFonts w:ascii="Times New Roman" w:eastAsia="Times New Roman" w:hAnsi="Times New Roman"/>
                <w:iCs/>
                <w:sz w:val="24"/>
                <w:szCs w:val="24"/>
                <w:lang w:eastAsia="bg-BG"/>
              </w:rPr>
              <w:t>Консултации на потенциални бенефициенти по Стратегията се предоставят всеки работен ден в офисите на МИГ на адрес</w:t>
            </w:r>
            <w:r>
              <w:rPr>
                <w:rFonts w:ascii="Times New Roman" w:eastAsia="Times New Roman" w:hAnsi="Times New Roman"/>
                <w:iCs/>
                <w:sz w:val="24"/>
                <w:szCs w:val="24"/>
                <w:lang w:eastAsia="bg-BG"/>
              </w:rPr>
              <w:t>: гр.Лясковец, ул.“Бузлуджа“ № 1</w:t>
            </w:r>
          </w:p>
        </w:tc>
      </w:tr>
    </w:tbl>
    <w:p w14:paraId="07B99B49" w14:textId="77777777" w:rsidR="00D67E90" w:rsidRPr="007713C1" w:rsidRDefault="004E418C" w:rsidP="003A2D4B">
      <w:pPr>
        <w:pStyle w:val="Heading2"/>
      </w:pPr>
      <w:bookmarkStart w:id="56" w:name="_Toc445385634"/>
      <w:r>
        <w:lastRenderedPageBreak/>
        <w:t>24.9.</w:t>
      </w:r>
      <w:r w:rsidR="00D67E90" w:rsidRPr="007713C1">
        <w:t xml:space="preserve"> </w:t>
      </w:r>
      <w:r w:rsidR="00325CC3" w:rsidRPr="007713C1">
        <w:t>Условия за изпълнение</w:t>
      </w:r>
      <w:r w:rsidR="00D67E90" w:rsidRPr="007713C1">
        <w:t xml:space="preserve"> на проекта, след решението на Управляващия орган за предоставяне на безвъзмездна финансова помощ</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D67E90" w:rsidRPr="008F724D" w14:paraId="299051A5" w14:textId="77777777">
        <w:tc>
          <w:tcPr>
            <w:tcW w:w="9496" w:type="dxa"/>
          </w:tcPr>
          <w:p w14:paraId="76870054"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14:paraId="34249B4A"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Правата и задълженията, които възникват за Бенефициента са описани в Приложение: Административен договор.</w:t>
            </w:r>
          </w:p>
          <w:p w14:paraId="7B663AA0"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В случай че в проектното си предложение кандидатът е предвидил извършването на основен ремонт, преди стартиране на ремонтните дейности кандидатът трябва да представи следните документи: </w:t>
            </w:r>
          </w:p>
          <w:p w14:paraId="1BE3F6AD"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 Заверено „вярно с оригинала” копие от издадено и влязло в сила разрешение за строеж; </w:t>
            </w:r>
          </w:p>
          <w:p w14:paraId="137B09B7"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или </w:t>
            </w:r>
          </w:p>
          <w:p w14:paraId="7230742A"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 Писмо от главния архитект на общината, че за обекта не се изисква разрешение за </w:t>
            </w:r>
            <w:r w:rsidRPr="00921428">
              <w:rPr>
                <w:rFonts w:ascii="Times New Roman" w:eastAsia="Times New Roman" w:hAnsi="Times New Roman"/>
                <w:bCs/>
                <w:sz w:val="24"/>
                <w:szCs w:val="24"/>
                <w:lang w:eastAsia="bg-BG"/>
              </w:rPr>
              <w:lastRenderedPageBreak/>
              <w:t>строеж (важи за обект, за който по ЗУТ не се изисква разрешение за строеж)</w:t>
            </w:r>
          </w:p>
          <w:p w14:paraId="47E5626C"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 В случай че в проектното си предложение кандидатът е предвидил извършването на текущ или основен ремонт, в процеса на изпълнение и към момента на отчитането може да се изисква да бъдат представени следните документи: </w:t>
            </w:r>
          </w:p>
          <w:p w14:paraId="45FDAA1E"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1. Документи за помещенията/сградата, в случай на ремонт: </w:t>
            </w:r>
          </w:p>
          <w:p w14:paraId="2F74156B"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1.1. Документ за собственост на сградата/помещението, предмет на ремонта - Нотариален акт за недвижима собственост или друг документ с еквивалентна стойност, удостоверяващ собствеността на сградата/помещението или Договор за наем на сградата/помещението, предмет на ремонт - за периода на изпълнение на проекта - копие, заверено от кандидата с подпис и текст „Вярно с оригинала“; </w:t>
            </w:r>
          </w:p>
          <w:p w14:paraId="13667F84"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1.2. Актуални цветни снимки на сградата/помещението, които ще се ремонтират, на които ясно се вижда датата на заснемане (преди стартиране на ремонта).</w:t>
            </w:r>
          </w:p>
          <w:p w14:paraId="5E36B608"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По време на изпълнение на дейностите по проекта, бенефициентът е длъжен да спазва „Ръководство за бенефициенти по изпълнение на договори  по процедури по ВОМР с финансовата подкрепа на ОП РЧР 2014-2020”, което е публикувано на интернет страницата на Управляващия орган и страницата на МИГ.</w:t>
            </w:r>
          </w:p>
          <w:p w14:paraId="73F22AE4"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14:paraId="2C6472CD"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2494F39F"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При констатиране на неправомерно предоставена помощ 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0152E9BE"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64DDBC5E" w14:textId="54C762DA" w:rsidR="00245C7F" w:rsidRPr="008F724D" w:rsidRDefault="00921428" w:rsidP="00921428">
            <w:pPr>
              <w:tabs>
                <w:tab w:val="left" w:pos="2161"/>
              </w:tabs>
              <w:spacing w:after="240" w:line="240" w:lineRule="auto"/>
              <w:jc w:val="both"/>
              <w:rPr>
                <w:rFonts w:ascii="Times New Roman" w:eastAsia="Times New Roman" w:hAnsi="Times New Roman"/>
                <w:b/>
                <w:bCs/>
                <w:sz w:val="20"/>
                <w:szCs w:val="20"/>
                <w:lang w:eastAsia="bg-BG"/>
              </w:rPr>
            </w:pPr>
            <w:r w:rsidRPr="00921428">
              <w:rPr>
                <w:rFonts w:ascii="Times New Roman" w:eastAsia="Times New Roman" w:hAnsi="Times New Roman"/>
                <w:bCs/>
                <w:sz w:val="24"/>
                <w:szCs w:val="24"/>
                <w:lang w:eastAsia="bg-BG"/>
              </w:rPr>
              <w:t xml:space="preserve">МИГ </w:t>
            </w:r>
            <w:r w:rsidR="003E27EA">
              <w:rPr>
                <w:rFonts w:ascii="Times New Roman" w:eastAsia="Times New Roman" w:hAnsi="Times New Roman"/>
                <w:bCs/>
                <w:sz w:val="24"/>
                <w:szCs w:val="24"/>
                <w:lang w:eastAsia="bg-BG"/>
              </w:rPr>
              <w:t>Лясковец - Стражица</w:t>
            </w:r>
            <w:r w:rsidRPr="00921428">
              <w:rPr>
                <w:rFonts w:ascii="Times New Roman" w:eastAsia="Times New Roman" w:hAnsi="Times New Roman"/>
                <w:bCs/>
                <w:sz w:val="24"/>
                <w:szCs w:val="24"/>
                <w:lang w:eastAsia="bg-BG"/>
              </w:rPr>
              <w:t xml:space="preserve"> подпомага бенефициентите на безвъзмездна финансова помощ в изпълнението и отчитането на проектите. МИГ осъществява мониторинг, контрол и може да осъществява проверки на документацията и проверки на място за изпълнението на договора. Правата и задълженията на МИГ са уредени в договора за безвъзмездна финансова помощ.</w:t>
            </w:r>
          </w:p>
        </w:tc>
      </w:tr>
    </w:tbl>
    <w:p w14:paraId="2098F0AC" w14:textId="77777777" w:rsidR="00DC1CAE" w:rsidRDefault="00DC1CAE" w:rsidP="003A2D4B">
      <w:pPr>
        <w:pStyle w:val="Heading1"/>
      </w:pPr>
      <w:bookmarkStart w:id="57" w:name="_Toc445385635"/>
    </w:p>
    <w:p w14:paraId="2655C623" w14:textId="77777777" w:rsidR="00F63260" w:rsidRPr="007713C1" w:rsidRDefault="006C15B1" w:rsidP="003A2D4B">
      <w:pPr>
        <w:pStyle w:val="Heading1"/>
      </w:pPr>
      <w:r>
        <w:t>25</w:t>
      </w:r>
      <w:r w:rsidR="00D67E90" w:rsidRPr="007713C1">
        <w:t>. Приложения към Условията за кандидатстване за кандидатстване:</w:t>
      </w:r>
      <w:bookmarkEnd w:id="57"/>
    </w:p>
    <w:p w14:paraId="439EE36A" w14:textId="77777777" w:rsidR="00DD3143" w:rsidRPr="007713C1" w:rsidRDefault="006C15B1" w:rsidP="003A2D4B">
      <w:pPr>
        <w:pStyle w:val="Heading2"/>
      </w:pPr>
      <w:bookmarkStart w:id="58" w:name="_Toc445385636"/>
      <w:r>
        <w:t>25</w:t>
      </w:r>
      <w:r w:rsidR="00DD3143" w:rsidRPr="007713C1">
        <w:t>.1.</w:t>
      </w:r>
      <w:r w:rsidR="00DD3143" w:rsidRPr="007713C1">
        <w:rPr>
          <w:sz w:val="26"/>
          <w:szCs w:val="26"/>
        </w:rPr>
        <w:t xml:space="preserve"> </w:t>
      </w:r>
      <w:r w:rsidR="00DD3143" w:rsidRPr="007713C1">
        <w:t>Документи, които се подават  към момента на кандидатстване:</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DD3143" w:rsidRPr="008F724D" w14:paraId="05FB8008" w14:textId="77777777">
        <w:tc>
          <w:tcPr>
            <w:tcW w:w="9495" w:type="dxa"/>
          </w:tcPr>
          <w:p w14:paraId="418723E9" w14:textId="77777777" w:rsidR="00921428" w:rsidRPr="00921428" w:rsidRDefault="00921428" w:rsidP="00921428">
            <w:pPr>
              <w:tabs>
                <w:tab w:val="left" w:pos="1800"/>
              </w:tabs>
              <w:spacing w:before="120" w:after="120" w:line="240" w:lineRule="auto"/>
              <w:jc w:val="both"/>
              <w:rPr>
                <w:rFonts w:ascii="Times New Roman" w:hAnsi="Times New Roman"/>
                <w:b/>
                <w:bCs/>
                <w:sz w:val="24"/>
                <w:szCs w:val="24"/>
                <w:lang w:eastAsia="bg-BG"/>
              </w:rPr>
            </w:pPr>
            <w:bookmarkStart w:id="59" w:name="_Toc40507658"/>
            <w:r w:rsidRPr="00921428">
              <w:rPr>
                <w:rFonts w:ascii="Times New Roman" w:hAnsi="Times New Roman"/>
                <w:b/>
                <w:bCs/>
                <w:sz w:val="24"/>
                <w:szCs w:val="24"/>
                <w:lang w:eastAsia="bg-BG"/>
              </w:rPr>
              <w:t>ПРИЛОЖЕНИЯ ЗА ПОПЪЛВАНЕ:</w:t>
            </w:r>
          </w:p>
          <w:p w14:paraId="787989A4"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 xml:space="preserve">Формуляр за кандидатстване (приложение към настоящата процедура в ИСУН 2020 - </w:t>
            </w:r>
            <w:hyperlink r:id="rId12" w:history="1">
              <w:r w:rsidRPr="00921428">
                <w:rPr>
                  <w:rStyle w:val="Hyperlink"/>
                  <w:rFonts w:ascii="Times New Roman" w:hAnsi="Times New Roman"/>
                  <w:bCs/>
                  <w:sz w:val="24"/>
                  <w:szCs w:val="24"/>
                  <w:lang w:eastAsia="bg-BG"/>
                </w:rPr>
                <w:t>https://eumis2020.government.bg</w:t>
              </w:r>
            </w:hyperlink>
            <w:r w:rsidRPr="00921428">
              <w:rPr>
                <w:rFonts w:ascii="Times New Roman" w:hAnsi="Times New Roman"/>
                <w:bCs/>
                <w:sz w:val="24"/>
                <w:szCs w:val="24"/>
                <w:lang w:eastAsia="bg-BG"/>
              </w:rPr>
              <w:t>)</w:t>
            </w:r>
          </w:p>
          <w:p w14:paraId="69A25D46"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Приложение І: 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14:paraId="14E13AA5"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Приложение ІІ: Декларация на кандидата</w:t>
            </w:r>
          </w:p>
          <w:p w14:paraId="1F939B38"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Приложение І</w:t>
            </w:r>
            <w:r w:rsidRPr="00921428">
              <w:rPr>
                <w:rFonts w:ascii="Times New Roman" w:hAnsi="Times New Roman"/>
                <w:bCs/>
                <w:sz w:val="24"/>
                <w:szCs w:val="24"/>
                <w:lang w:val="en-US" w:eastAsia="bg-BG"/>
              </w:rPr>
              <w:t>II</w:t>
            </w:r>
            <w:r w:rsidRPr="00921428">
              <w:rPr>
                <w:rFonts w:ascii="Times New Roman" w:hAnsi="Times New Roman"/>
                <w:bCs/>
                <w:sz w:val="24"/>
                <w:szCs w:val="24"/>
                <w:lang w:eastAsia="bg-BG"/>
              </w:rPr>
              <w:t>: Декларация за минимални и държавни помощи</w:t>
            </w:r>
          </w:p>
          <w:p w14:paraId="7CB66D8F"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 xml:space="preserve">Приложение </w:t>
            </w:r>
            <w:r w:rsidRPr="00921428">
              <w:rPr>
                <w:rFonts w:ascii="Times New Roman" w:hAnsi="Times New Roman"/>
                <w:bCs/>
                <w:sz w:val="24"/>
                <w:szCs w:val="24"/>
                <w:lang w:val="en-US" w:eastAsia="bg-BG"/>
              </w:rPr>
              <w:t>I</w:t>
            </w:r>
            <w:r w:rsidRPr="00921428">
              <w:rPr>
                <w:rFonts w:ascii="Times New Roman" w:hAnsi="Times New Roman"/>
                <w:bCs/>
                <w:sz w:val="24"/>
                <w:szCs w:val="24"/>
                <w:lang w:eastAsia="bg-BG"/>
              </w:rPr>
              <w:t xml:space="preserve">V: Декларация за предоставяне на данни от НСИ </w:t>
            </w:r>
          </w:p>
          <w:p w14:paraId="7D960C51"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 xml:space="preserve">Приложение </w:t>
            </w:r>
            <w:r w:rsidRPr="00921428">
              <w:rPr>
                <w:rFonts w:ascii="Times New Roman" w:hAnsi="Times New Roman"/>
                <w:bCs/>
                <w:sz w:val="24"/>
                <w:szCs w:val="24"/>
                <w:lang w:val="en-US" w:eastAsia="bg-BG"/>
              </w:rPr>
              <w:t>VII</w:t>
            </w:r>
            <w:r w:rsidRPr="00921428">
              <w:rPr>
                <w:rFonts w:ascii="Times New Roman" w:hAnsi="Times New Roman"/>
                <w:bCs/>
                <w:sz w:val="24"/>
                <w:szCs w:val="24"/>
                <w:lang w:eastAsia="bg-BG"/>
              </w:rPr>
              <w:t>: Проектобюджет</w:t>
            </w:r>
          </w:p>
          <w:p w14:paraId="00638BEC" w14:textId="77777777" w:rsidR="00DD3143" w:rsidRPr="008F724D" w:rsidRDefault="00921428" w:rsidP="00921428">
            <w:pPr>
              <w:tabs>
                <w:tab w:val="left" w:pos="1800"/>
              </w:tabs>
              <w:spacing w:before="120" w:after="12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
                <w:bCs/>
                <w:sz w:val="24"/>
                <w:szCs w:val="24"/>
                <w:lang w:eastAsia="bg-BG"/>
              </w:rPr>
              <w:t xml:space="preserve">Подкрепящи документи </w:t>
            </w:r>
            <w:r w:rsidRPr="00921428">
              <w:rPr>
                <w:rFonts w:ascii="Times New Roman" w:eastAsia="Times New Roman" w:hAnsi="Times New Roman"/>
                <w:bCs/>
                <w:sz w:val="24"/>
                <w:szCs w:val="24"/>
                <w:lang w:eastAsia="bg-BG"/>
              </w:rPr>
              <w:t>(съгласно точка 22 от Условията за кандидатстване)</w:t>
            </w:r>
            <w:bookmarkEnd w:id="59"/>
          </w:p>
        </w:tc>
      </w:tr>
    </w:tbl>
    <w:p w14:paraId="1C6B553A" w14:textId="77777777" w:rsidR="00DD3143" w:rsidRPr="007713C1" w:rsidRDefault="0029462F" w:rsidP="003A2D4B">
      <w:pPr>
        <w:pStyle w:val="Heading2"/>
      </w:pPr>
      <w:bookmarkStart w:id="60" w:name="_Toc445385637"/>
      <w:r w:rsidRPr="007713C1">
        <w:t>2</w:t>
      </w:r>
      <w:r w:rsidR="006C15B1">
        <w:t>5</w:t>
      </w:r>
      <w:r w:rsidR="00DD3143" w:rsidRPr="007713C1">
        <w:t>.2. Документи, към момента на подписване на административния договор:</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DD3143" w:rsidRPr="008F724D" w14:paraId="06DEE428" w14:textId="77777777">
        <w:tc>
          <w:tcPr>
            <w:tcW w:w="9495" w:type="dxa"/>
          </w:tcPr>
          <w:p w14:paraId="5CB15B43"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bookmarkStart w:id="61" w:name="_Toc172021301"/>
            <w:r w:rsidRPr="00921428">
              <w:rPr>
                <w:rFonts w:ascii="Times New Roman" w:hAnsi="Times New Roman"/>
                <w:bCs/>
                <w:sz w:val="24"/>
                <w:szCs w:val="24"/>
                <w:lang w:eastAsia="bg-BG"/>
              </w:rPr>
              <w:t>Административен договор</w:t>
            </w:r>
          </w:p>
          <w:p w14:paraId="1B06EE0D"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 xml:space="preserve">Приложение V: Формуляр за финансова идентификация </w:t>
            </w:r>
          </w:p>
          <w:p w14:paraId="73E71647"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Приложение VІ: Декларация за нередности</w:t>
            </w:r>
          </w:p>
          <w:p w14:paraId="034E8C6C"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Заявление за профил за достъп на ръководител на бенефициента до ИСУН 2020</w:t>
            </w:r>
          </w:p>
          <w:p w14:paraId="776DAAA0"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Заявление за профил за достъп на упълномощени от бенефициента лица до ИСУН 2020</w:t>
            </w:r>
          </w:p>
          <w:p w14:paraId="4537C073" w14:textId="77777777" w:rsidR="00F52101" w:rsidRPr="008F724D" w:rsidRDefault="00921428" w:rsidP="00921428">
            <w:pPr>
              <w:autoSpaceDE w:val="0"/>
              <w:autoSpaceDN w:val="0"/>
              <w:adjustRightInd w:val="0"/>
              <w:spacing w:before="120" w:after="12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
                <w:bCs/>
                <w:sz w:val="24"/>
                <w:szCs w:val="24"/>
                <w:lang w:eastAsia="bg-BG"/>
              </w:rPr>
              <w:t xml:space="preserve">Подкрепящи документи към момента на подписване на административния договор </w:t>
            </w:r>
            <w:r w:rsidRPr="00921428">
              <w:rPr>
                <w:rFonts w:ascii="Times New Roman" w:eastAsia="Times New Roman" w:hAnsi="Times New Roman"/>
                <w:bCs/>
                <w:sz w:val="24"/>
                <w:szCs w:val="24"/>
                <w:lang w:eastAsia="bg-BG"/>
              </w:rPr>
              <w:t>(съгласно точка 24.7. от Условията за кандидатстване)</w:t>
            </w:r>
          </w:p>
        </w:tc>
      </w:tr>
    </w:tbl>
    <w:p w14:paraId="2FE386FB" w14:textId="77777777" w:rsidR="00DD3143" w:rsidRPr="007713C1" w:rsidRDefault="00DD3143" w:rsidP="003A2D4B">
      <w:pPr>
        <w:pStyle w:val="Heading2"/>
      </w:pPr>
      <w:bookmarkStart w:id="62" w:name="_Toc445385638"/>
      <w:bookmarkEnd w:id="61"/>
      <w:r w:rsidRPr="007713C1">
        <w:t>2</w:t>
      </w:r>
      <w:r w:rsidR="006C15B1">
        <w:t>5</w:t>
      </w:r>
      <w:r w:rsidRPr="007713C1">
        <w:t>.3. Документи за информация:</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DD3143" w:rsidRPr="008F724D" w14:paraId="2F8755D6" w14:textId="77777777">
        <w:tc>
          <w:tcPr>
            <w:tcW w:w="9495" w:type="dxa"/>
          </w:tcPr>
          <w:p w14:paraId="46BE2AB8"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Таблица за оценка на административното съответствие и допустимостта на проектно предложение;</w:t>
            </w:r>
          </w:p>
          <w:p w14:paraId="08799F07"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 xml:space="preserve">Методология за оценка на техническо и финансово качество на проектно предложение; </w:t>
            </w:r>
          </w:p>
          <w:p w14:paraId="3CD67C47"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Методика за оценка на финансовия капацитет на кандидата по ОП РЧР 2014–2020;</w:t>
            </w:r>
          </w:p>
          <w:p w14:paraId="0B6A7422"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Методология за регламентиране на възнагражденията по ОП РЧР /Методологията е публикувана на http://esf.bg/informatsiya//;</w:t>
            </w:r>
          </w:p>
          <w:p w14:paraId="0DF5E2A5"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2D048073" w14:textId="18F15382" w:rsid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Указания за попълване на формуляр за кандидатстване;</w:t>
            </w:r>
          </w:p>
          <w:p w14:paraId="687C2C27" w14:textId="002838AA" w:rsidR="007355C7" w:rsidRDefault="007355C7" w:rsidP="00424688">
            <w:pPr>
              <w:spacing w:before="120" w:after="120" w:line="240" w:lineRule="auto"/>
              <w:jc w:val="both"/>
              <w:rPr>
                <w:rFonts w:ascii="Times New Roman" w:eastAsia="Times New Roman" w:hAnsi="Times New Roman"/>
                <w:bCs/>
                <w:noProof/>
                <w:snapToGrid w:val="0"/>
                <w:sz w:val="24"/>
                <w:szCs w:val="24"/>
                <w:lang w:eastAsia="bg-BG"/>
              </w:rPr>
            </w:pPr>
            <w:r w:rsidRPr="007355C7">
              <w:rPr>
                <w:rFonts w:ascii="Times New Roman" w:eastAsia="Times New Roman" w:hAnsi="Times New Roman"/>
                <w:bCs/>
                <w:noProof/>
                <w:snapToGrid w:val="0"/>
                <w:sz w:val="24"/>
                <w:szCs w:val="24"/>
                <w:lang w:eastAsia="bg-BG"/>
              </w:rPr>
              <w:t>Заповед № РД-01-672 от 22.10.2019 г.</w:t>
            </w:r>
            <w:r>
              <w:rPr>
                <w:rFonts w:ascii="Times New Roman" w:eastAsia="Times New Roman" w:hAnsi="Times New Roman"/>
                <w:bCs/>
                <w:noProof/>
                <w:snapToGrid w:val="0"/>
                <w:sz w:val="24"/>
                <w:szCs w:val="24"/>
                <w:lang w:eastAsia="bg-BG"/>
              </w:rPr>
              <w:t xml:space="preserve"> на министъра на труда и социалната политика за </w:t>
            </w:r>
            <w:r>
              <w:rPr>
                <w:rFonts w:ascii="Times New Roman" w:eastAsia="Times New Roman" w:hAnsi="Times New Roman"/>
                <w:bCs/>
                <w:noProof/>
                <w:snapToGrid w:val="0"/>
                <w:sz w:val="24"/>
                <w:szCs w:val="24"/>
                <w:lang w:eastAsia="bg-BG"/>
              </w:rPr>
              <w:lastRenderedPageBreak/>
              <w:t xml:space="preserve">определяне на </w:t>
            </w:r>
            <w:r w:rsidRPr="007355C7">
              <w:rPr>
                <w:rFonts w:ascii="Times New Roman" w:eastAsia="Times New Roman" w:hAnsi="Times New Roman"/>
                <w:bCs/>
                <w:noProof/>
                <w:snapToGrid w:val="0"/>
                <w:sz w:val="24"/>
                <w:szCs w:val="24"/>
                <w:lang w:eastAsia="bg-BG"/>
              </w:rPr>
              <w:t>Коефициент на трудов травматизъм по икономически дейности за прилагане през 2020 г.</w:t>
            </w:r>
          </w:p>
          <w:p w14:paraId="20C09193" w14:textId="6892F2DE"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 xml:space="preserve">Таблицата за определяне на допустимите почасови ставки; </w:t>
            </w:r>
          </w:p>
          <w:p w14:paraId="169D670F" w14:textId="77777777" w:rsidR="00CC535F" w:rsidRPr="00B52D21"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Указания за тълкуване на термините оборудване, обзавеждане, ДНА и стопански инвентар.</w:t>
            </w:r>
          </w:p>
        </w:tc>
      </w:tr>
    </w:tbl>
    <w:p w14:paraId="75F4ACBC" w14:textId="77777777" w:rsidR="00DD3143" w:rsidRPr="007713C1" w:rsidRDefault="00DD3143" w:rsidP="00B52D21">
      <w:pPr>
        <w:pStyle w:val="Footer"/>
        <w:pBdr>
          <w:bottom w:val="single" w:sz="12" w:space="1" w:color="auto"/>
        </w:pBdr>
        <w:tabs>
          <w:tab w:val="clear" w:pos="9072"/>
          <w:tab w:val="right" w:pos="9356"/>
        </w:tabs>
        <w:jc w:val="right"/>
        <w:rPr>
          <w:rFonts w:ascii="Times New Roman" w:hAnsi="Times New Roman"/>
          <w:b/>
          <w:sz w:val="24"/>
          <w:szCs w:val="24"/>
        </w:rPr>
      </w:pPr>
    </w:p>
    <w:sectPr w:rsidR="00DD3143" w:rsidRPr="007713C1" w:rsidSect="00FC5310">
      <w:type w:val="continuous"/>
      <w:pgSz w:w="11906" w:h="16838"/>
      <w:pgMar w:top="2208" w:right="1133" w:bottom="851"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6080" w14:textId="77777777" w:rsidR="00AB2EDE" w:rsidRDefault="00AB2EDE" w:rsidP="002325A3">
      <w:pPr>
        <w:spacing w:after="0" w:line="240" w:lineRule="auto"/>
      </w:pPr>
      <w:r>
        <w:separator/>
      </w:r>
    </w:p>
  </w:endnote>
  <w:endnote w:type="continuationSeparator" w:id="0">
    <w:p w14:paraId="0FA78E25" w14:textId="77777777" w:rsidR="00AB2EDE" w:rsidRDefault="00AB2EDE"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EUAlbertina">
    <w:altName w:val="Times New Roman"/>
    <w:panose1 w:val="00000000000000000000"/>
    <w:charset w:val="00"/>
    <w:family w:val="auto"/>
    <w:notTrueType/>
    <w:pitch w:val="default"/>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359817"/>
      <w:docPartObj>
        <w:docPartGallery w:val="Page Numbers (Bottom of Page)"/>
        <w:docPartUnique/>
      </w:docPartObj>
    </w:sdtPr>
    <w:sdtEndPr>
      <w:rPr>
        <w:noProof/>
      </w:rPr>
    </w:sdtEndPr>
    <w:sdtContent>
      <w:p w14:paraId="61BECF27" w14:textId="47243DC8" w:rsidR="005870FC" w:rsidRDefault="005870FC" w:rsidP="00A143C7">
        <w:pPr>
          <w:pStyle w:val="Footer"/>
          <w:jc w:val="right"/>
        </w:pPr>
        <w:r w:rsidRPr="00A143C7">
          <w:rPr>
            <w:rFonts w:ascii="Times New Roman" w:hAnsi="Times New Roman"/>
            <w:sz w:val="20"/>
            <w:szCs w:val="20"/>
          </w:rPr>
          <w:t>Условия за кандидатстване по процедура BG05M9OP001-1.119 „МИГ Лясковец – Стражица Мярка МИГ 03 „По-добро здраве и работоспособност на заетите в икономиката на общините  Лясковец и Стражица“</w:t>
        </w:r>
        <w:r>
          <w:t xml:space="preserve"> </w:t>
        </w:r>
        <w:r>
          <w:tab/>
        </w:r>
        <w:r>
          <w:tab/>
        </w:r>
        <w:r>
          <w:tab/>
        </w:r>
        <w:r>
          <w:fldChar w:fldCharType="begin"/>
        </w:r>
        <w:r>
          <w:instrText xml:space="preserve"> PAGE   \* MERGEFORMAT </w:instrText>
        </w:r>
        <w:r>
          <w:fldChar w:fldCharType="separate"/>
        </w:r>
        <w:r w:rsidR="00C5653D">
          <w:rPr>
            <w:noProof/>
          </w:rPr>
          <w:t>1</w:t>
        </w:r>
        <w:r>
          <w:rPr>
            <w:noProof/>
          </w:rPr>
          <w:fldChar w:fldCharType="end"/>
        </w:r>
      </w:p>
    </w:sdtContent>
  </w:sdt>
  <w:p w14:paraId="701DF869" w14:textId="77777777" w:rsidR="005870FC" w:rsidRDefault="00587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10815" w14:textId="77777777" w:rsidR="00AB2EDE" w:rsidRDefault="00AB2EDE" w:rsidP="002325A3">
      <w:pPr>
        <w:spacing w:after="0" w:line="240" w:lineRule="auto"/>
      </w:pPr>
      <w:r>
        <w:separator/>
      </w:r>
    </w:p>
  </w:footnote>
  <w:footnote w:type="continuationSeparator" w:id="0">
    <w:p w14:paraId="3253CCF5" w14:textId="77777777" w:rsidR="00AB2EDE" w:rsidRDefault="00AB2EDE" w:rsidP="002325A3">
      <w:pPr>
        <w:spacing w:after="0" w:line="240" w:lineRule="auto"/>
      </w:pPr>
      <w:r>
        <w:continuationSeparator/>
      </w:r>
    </w:p>
  </w:footnote>
  <w:footnote w:id="1">
    <w:p w14:paraId="2CE5C44A" w14:textId="77777777" w:rsidR="005870FC" w:rsidRPr="00D467D3" w:rsidRDefault="005870FC">
      <w:pPr>
        <w:pStyle w:val="FootnoteText"/>
        <w:rPr>
          <w:rFonts w:ascii="Times New Roman" w:hAnsi="Times New Roman"/>
        </w:rPr>
      </w:pPr>
      <w:r w:rsidRPr="00D467D3">
        <w:rPr>
          <w:rStyle w:val="FootnoteReference"/>
          <w:rFonts w:ascii="Times New Roman" w:hAnsi="Times New Roman"/>
        </w:rPr>
        <w:footnoteRef/>
      </w:r>
      <w:r w:rsidRPr="00D467D3">
        <w:rPr>
          <w:rFonts w:ascii="Times New Roman" w:hAnsi="Times New Roman"/>
        </w:rPr>
        <w:t xml:space="preserve"> Съгласно Регламент за изпълнение (ЕС) № 215/2014 на комисията от 7 март 2014 година.</w:t>
      </w:r>
    </w:p>
  </w:footnote>
  <w:footnote w:id="2">
    <w:p w14:paraId="05A816F0" w14:textId="77777777" w:rsidR="005870FC" w:rsidRPr="008E4E38" w:rsidRDefault="005870FC">
      <w:pPr>
        <w:pStyle w:val="FootnoteText"/>
      </w:pPr>
      <w:r>
        <w:rPr>
          <w:rStyle w:val="FootnoteReference"/>
        </w:rPr>
        <w:footnoteRef/>
      </w:r>
      <w:r>
        <w:t xml:space="preserve"> Съгласно одобрената СВОМР по съответната мярка.</w:t>
      </w:r>
    </w:p>
  </w:footnote>
  <w:footnote w:id="3">
    <w:p w14:paraId="1C84B6AD" w14:textId="77777777" w:rsidR="005870FC" w:rsidRPr="00CE2943" w:rsidRDefault="005870FC" w:rsidP="00D8611F">
      <w:pPr>
        <w:pStyle w:val="FootnoteText"/>
        <w:jc w:val="both"/>
        <w:rPr>
          <w:rFonts w:ascii="Times New Roman" w:hAnsi="Times New Roman"/>
        </w:rPr>
      </w:pPr>
      <w:r w:rsidRPr="00CE2943">
        <w:rPr>
          <w:rStyle w:val="FootnoteReference"/>
          <w:rFonts w:ascii="Times New Roman" w:hAnsi="Times New Roman"/>
        </w:rPr>
        <w:footnoteRef/>
      </w:r>
      <w:r w:rsidRPr="00CE2943">
        <w:rPr>
          <w:rFonts w:ascii="Times New Roman" w:hAnsi="Times New Roman"/>
        </w:rPr>
        <w:t xml:space="preserve"> Изискването за седалище и адрес на управление и осъществяване на дейностите по проекта   се прилага по отношение на всички кандидати</w:t>
      </w:r>
      <w:r>
        <w:rPr>
          <w:rFonts w:ascii="Times New Roman" w:hAnsi="Times New Roman"/>
        </w:rPr>
        <w:t>, които</w:t>
      </w:r>
      <w:r w:rsidRPr="00CE2943">
        <w:rPr>
          <w:rFonts w:ascii="Times New Roman" w:hAnsi="Times New Roman"/>
        </w:rPr>
        <w:t xml:space="preserve"> трябва да са регистрирани и да осъществяват</w:t>
      </w:r>
      <w:r>
        <w:rPr>
          <w:rFonts w:ascii="Times New Roman" w:hAnsi="Times New Roman"/>
        </w:rPr>
        <w:t xml:space="preserve"> търговската/производствената си</w:t>
      </w:r>
      <w:r w:rsidRPr="00CE2943">
        <w:rPr>
          <w:rFonts w:ascii="Times New Roman" w:hAnsi="Times New Roman"/>
        </w:rPr>
        <w:t xml:space="preserve"> дейност на територията на която и да е от  общините </w:t>
      </w:r>
      <w:r>
        <w:rPr>
          <w:rFonts w:ascii="Times New Roman" w:hAnsi="Times New Roman"/>
          <w:lang w:val="bg-BG"/>
        </w:rPr>
        <w:t xml:space="preserve">Лясковец </w:t>
      </w:r>
      <w:r w:rsidRPr="00CE2943">
        <w:rPr>
          <w:rFonts w:ascii="Times New Roman" w:hAnsi="Times New Roman"/>
        </w:rPr>
        <w:t xml:space="preserve">и </w:t>
      </w:r>
      <w:r>
        <w:rPr>
          <w:rFonts w:ascii="Times New Roman" w:hAnsi="Times New Roman"/>
          <w:lang w:val="bg-BG"/>
        </w:rPr>
        <w:t>Стражица</w:t>
      </w:r>
      <w:r w:rsidRPr="00CE2943">
        <w:rPr>
          <w:rFonts w:ascii="Times New Roman" w:hAnsi="Times New Roman"/>
        </w:rPr>
        <w:t xml:space="preserve"> включени в територията на МИГ.</w:t>
      </w:r>
    </w:p>
    <w:p w14:paraId="2A60DB3F" w14:textId="77777777" w:rsidR="005870FC" w:rsidRDefault="005870FC" w:rsidP="00D8611F">
      <w:pPr>
        <w:pStyle w:val="FootnoteText"/>
      </w:pPr>
    </w:p>
  </w:footnote>
  <w:footnote w:id="4">
    <w:p w14:paraId="60C7D5E7" w14:textId="77777777" w:rsidR="005870FC" w:rsidRPr="009F6448" w:rsidRDefault="005870FC" w:rsidP="009F6448">
      <w:pPr>
        <w:pStyle w:val="Default"/>
        <w:rPr>
          <w:rFonts w:eastAsia="Calibri"/>
          <w:sz w:val="20"/>
          <w:szCs w:val="20"/>
        </w:rPr>
      </w:pPr>
      <w:r>
        <w:rPr>
          <w:rStyle w:val="FootnoteReference"/>
        </w:rPr>
        <w:footnoteRef/>
      </w:r>
      <w:r>
        <w:t xml:space="preserve"> </w:t>
      </w:r>
      <w:r w:rsidRPr="009F6448">
        <w:rPr>
          <w:rFonts w:eastAsia="Calibri"/>
          <w:sz w:val="20"/>
          <w:szCs w:val="20"/>
        </w:rPr>
        <w:t xml:space="preserve">Зелени умения са: </w:t>
      </w:r>
    </w:p>
    <w:p w14:paraId="6D65ECD6" w14:textId="77777777" w:rsidR="005870FC" w:rsidRPr="009F6448" w:rsidRDefault="005870FC" w:rsidP="009F6448">
      <w:pPr>
        <w:autoSpaceDE w:val="0"/>
        <w:autoSpaceDN w:val="0"/>
        <w:adjustRightInd w:val="0"/>
        <w:spacing w:after="19" w:line="240" w:lineRule="auto"/>
        <w:rPr>
          <w:rFonts w:ascii="Times New Roman" w:hAnsi="Times New Roman"/>
          <w:color w:val="000000"/>
          <w:sz w:val="20"/>
          <w:szCs w:val="20"/>
          <w:lang w:eastAsia="bg-BG"/>
        </w:rPr>
      </w:pPr>
      <w:r w:rsidRPr="009F6448">
        <w:rPr>
          <w:rFonts w:ascii="Times New Roman" w:hAnsi="Times New Roman"/>
          <w:color w:val="000000"/>
          <w:sz w:val="20"/>
          <w:szCs w:val="20"/>
          <w:lang w:eastAsia="bg-BG"/>
        </w:rPr>
        <w:t xml:space="preserve">- Умения, необходими за заемането на „зелени“ работни места; </w:t>
      </w:r>
    </w:p>
    <w:p w14:paraId="7A3BB97C" w14:textId="77777777" w:rsidR="005870FC" w:rsidRPr="009F6448" w:rsidRDefault="005870FC" w:rsidP="009F6448">
      <w:pPr>
        <w:autoSpaceDE w:val="0"/>
        <w:autoSpaceDN w:val="0"/>
        <w:adjustRightInd w:val="0"/>
        <w:spacing w:after="19" w:line="240" w:lineRule="auto"/>
        <w:rPr>
          <w:rFonts w:ascii="Times New Roman" w:hAnsi="Times New Roman"/>
          <w:color w:val="000000"/>
          <w:sz w:val="20"/>
          <w:szCs w:val="20"/>
          <w:lang w:eastAsia="bg-BG"/>
        </w:rPr>
      </w:pPr>
      <w:r w:rsidRPr="009F6448">
        <w:rPr>
          <w:rFonts w:ascii="Times New Roman" w:hAnsi="Times New Roman"/>
          <w:color w:val="000000"/>
          <w:sz w:val="20"/>
          <w:szCs w:val="20"/>
          <w:lang w:eastAsia="bg-BG"/>
        </w:rPr>
        <w:t xml:space="preserve">- Умения, необходими за трансформиране на традиционните работни места в зелени такива; </w:t>
      </w:r>
    </w:p>
    <w:p w14:paraId="6047D20A" w14:textId="77777777" w:rsidR="005870FC" w:rsidRPr="009F6448" w:rsidRDefault="005870FC" w:rsidP="009F6448">
      <w:pPr>
        <w:autoSpaceDE w:val="0"/>
        <w:autoSpaceDN w:val="0"/>
        <w:adjustRightInd w:val="0"/>
        <w:spacing w:after="0" w:line="240" w:lineRule="auto"/>
        <w:rPr>
          <w:rFonts w:ascii="Times New Roman" w:hAnsi="Times New Roman"/>
          <w:color w:val="000000"/>
          <w:sz w:val="20"/>
          <w:szCs w:val="20"/>
          <w:lang w:eastAsia="bg-BG"/>
        </w:rPr>
      </w:pPr>
      <w:r w:rsidRPr="009F6448">
        <w:rPr>
          <w:rFonts w:ascii="Times New Roman" w:hAnsi="Times New Roman"/>
          <w:color w:val="000000"/>
          <w:sz w:val="20"/>
          <w:szCs w:val="20"/>
          <w:lang w:eastAsia="bg-BG"/>
        </w:rPr>
        <w:t xml:space="preserve">- Умения, изискващи се от прехода към нисковъглеродна и ресурсноефективна икономика, вкл. познания, специализирана информация за технологии и продукти, който биха намалили вредното влияние върху околната среда. </w:t>
      </w:r>
    </w:p>
    <w:p w14:paraId="3E51BD8C" w14:textId="77777777" w:rsidR="005870FC" w:rsidRDefault="005870FC">
      <w:pPr>
        <w:pStyle w:val="FootnoteText"/>
      </w:pPr>
    </w:p>
  </w:footnote>
  <w:footnote w:id="5">
    <w:p w14:paraId="60E17D9F" w14:textId="77777777" w:rsidR="005870FC" w:rsidRDefault="005870FC" w:rsidP="007A799F">
      <w:pPr>
        <w:pStyle w:val="FootnoteText"/>
        <w:jc w:val="both"/>
      </w:pPr>
      <w:r>
        <w:rPr>
          <w:rStyle w:val="FootnoteReference"/>
        </w:rPr>
        <w:footnoteRef/>
      </w:r>
      <w:r>
        <w:t xml:space="preserve"> </w:t>
      </w:r>
      <w:r w:rsidRPr="006C761D">
        <w:rPr>
          <w:rFonts w:ascii="Times New Roman" w:hAnsi="Times New Roman"/>
        </w:rPr>
        <w:t>Съгласно §1, т. 6 ДР ЗЗБУТ "Средство за колективна защита" е проектно, конструктивно, технологично, организационно или друго техническо решение, което изолира пространството, в което може или се проявява опасността от местонахождението на работещите или други лица, които биха могли да бъдат увредени</w:t>
      </w:r>
      <w:r w:rsidRPr="00C2302E">
        <w:t>.</w:t>
      </w:r>
    </w:p>
  </w:footnote>
  <w:footnote w:id="6">
    <w:p w14:paraId="459D2DD4" w14:textId="77777777" w:rsidR="005870FC" w:rsidRPr="00E24B60" w:rsidRDefault="005870FC" w:rsidP="00E24B60">
      <w:pPr>
        <w:pStyle w:val="FootnoteText"/>
        <w:jc w:val="both"/>
        <w:rPr>
          <w:rFonts w:ascii="Times New Roman" w:hAnsi="Times New Roman"/>
          <w:sz w:val="16"/>
          <w:szCs w:val="16"/>
        </w:rPr>
      </w:pPr>
      <w:r>
        <w:rPr>
          <w:rStyle w:val="FootnoteReference"/>
        </w:rPr>
        <w:footnoteRef/>
      </w:r>
      <w:r>
        <w:t xml:space="preserve"> </w:t>
      </w:r>
      <w:r w:rsidRPr="00E24B60">
        <w:rPr>
          <w:rFonts w:ascii="Times New Roman" w:hAnsi="Times New Roman"/>
          <w:sz w:val="16"/>
          <w:szCs w:val="16"/>
        </w:rPr>
        <w:t xml:space="preserve">Съгласно §1, т. 7 от  ДР ЗЗБУТ  </w:t>
      </w:r>
      <w:r w:rsidRPr="00E24B60">
        <w:rPr>
          <w:rFonts w:ascii="Times New Roman" w:hAnsi="Times New Roman"/>
          <w:color w:val="000000"/>
          <w:sz w:val="16"/>
          <w:szCs w:val="16"/>
          <w:shd w:val="clear" w:color="auto" w:fill="FEFEFE"/>
        </w:rPr>
        <w:t>"</w:t>
      </w:r>
      <w:r w:rsidRPr="00E24B60">
        <w:rPr>
          <w:rStyle w:val="legaldocreference"/>
          <w:rFonts w:ascii="Times New Roman" w:hAnsi="Times New Roman"/>
          <w:color w:val="000000"/>
          <w:sz w:val="16"/>
          <w:szCs w:val="16"/>
          <w:shd w:val="clear" w:color="auto" w:fill="FEFEFE"/>
        </w:rPr>
        <w:t>Лично предпазно средство</w:t>
      </w:r>
      <w:r w:rsidRPr="00E24B60">
        <w:rPr>
          <w:rFonts w:ascii="Times New Roman" w:hAnsi="Times New Roman"/>
          <w:color w:val="000000"/>
          <w:sz w:val="16"/>
          <w:szCs w:val="16"/>
          <w:shd w:val="clear" w:color="auto" w:fill="FEFEFE"/>
        </w:rPr>
        <w:t>" е всяко приспособление, екипировка, проектирано да се носи или използва от работещия, за да го предпазва от една или повече възможни опасности, заплашващи неговото здраве и безопасност при работа, както и всяко допълнение, принадлежност или специално работно облекло, проектирани за същата цел.</w:t>
      </w:r>
    </w:p>
  </w:footnote>
  <w:footnote w:id="7">
    <w:p w14:paraId="39F3FB87" w14:textId="094A6FFC" w:rsidR="005870FC" w:rsidRPr="00FC2176" w:rsidRDefault="005870FC" w:rsidP="007A799F">
      <w:pPr>
        <w:pStyle w:val="HTMLPreformatted"/>
        <w:shd w:val="clear" w:color="auto" w:fill="FFFFFF"/>
        <w:jc w:val="both"/>
        <w:rPr>
          <w:rFonts w:ascii="inherit" w:hAnsi="inherit"/>
          <w:color w:val="212121"/>
        </w:rPr>
      </w:pPr>
      <w:r>
        <w:rPr>
          <w:rStyle w:val="FootnoteReference"/>
        </w:rPr>
        <w:footnoteRef/>
      </w:r>
      <w:r>
        <w:t xml:space="preserve"> </w:t>
      </w:r>
      <w:r w:rsidR="00DE308D">
        <w:rPr>
          <w:lang w:val="en-US"/>
        </w:rPr>
        <w:t>I</w:t>
      </w:r>
      <w:r w:rsidRPr="00FC2176">
        <w:rPr>
          <w:rFonts w:ascii="inherit" w:hAnsi="inherit"/>
          <w:color w:val="212121"/>
        </w:rPr>
        <w:t xml:space="preserve">SO 45001 </w:t>
      </w:r>
      <w:r>
        <w:rPr>
          <w:rFonts w:ascii="inherit" w:hAnsi="inherit"/>
          <w:color w:val="212121"/>
        </w:rPr>
        <w:t>е</w:t>
      </w:r>
      <w:r w:rsidRPr="00FC2176">
        <w:rPr>
          <w:rFonts w:ascii="inherit" w:hAnsi="inherit"/>
          <w:color w:val="212121"/>
        </w:rPr>
        <w:t xml:space="preserve"> новият международен стандарт за OHSMS</w:t>
      </w:r>
      <w:r>
        <w:rPr>
          <w:rFonts w:ascii="inherit" w:hAnsi="inherit"/>
          <w:color w:val="212121"/>
        </w:rPr>
        <w:t xml:space="preserve"> 18001:2007</w:t>
      </w:r>
      <w:r w:rsidRPr="00FC2176">
        <w:rPr>
          <w:rFonts w:ascii="inherit" w:hAnsi="inherit"/>
          <w:color w:val="212121"/>
        </w:rPr>
        <w:t>. Въпреки че е подобна на OHSAS 18001, новият стандарт ISO 45001 приема рамката на най-високо ниво на Приложение SL</w:t>
      </w:r>
      <w:r>
        <w:rPr>
          <w:rFonts w:ascii="inherit" w:hAnsi="inherit"/>
          <w:color w:val="212121"/>
        </w:rPr>
        <w:t xml:space="preserve"> (</w:t>
      </w:r>
      <w:r>
        <w:rPr>
          <w:rFonts w:ascii="inherit" w:hAnsi="inherit"/>
          <w:color w:val="212121"/>
          <w:lang w:val="en-US"/>
        </w:rPr>
        <w:t>Anex</w:t>
      </w:r>
      <w:r w:rsidRPr="00FF0D5B">
        <w:rPr>
          <w:rFonts w:ascii="inherit" w:hAnsi="inherit"/>
          <w:color w:val="212121"/>
        </w:rPr>
        <w:t xml:space="preserve"> </w:t>
      </w:r>
      <w:r>
        <w:rPr>
          <w:rFonts w:ascii="inherit" w:hAnsi="inherit"/>
          <w:color w:val="212121"/>
          <w:lang w:val="en-US"/>
        </w:rPr>
        <w:t>SL</w:t>
      </w:r>
      <w:r>
        <w:rPr>
          <w:rFonts w:ascii="inherit" w:hAnsi="inherit"/>
          <w:color w:val="212121"/>
        </w:rPr>
        <w:t>)</w:t>
      </w:r>
      <w:r w:rsidRPr="00FC2176">
        <w:rPr>
          <w:rFonts w:ascii="inherit" w:hAnsi="inherit"/>
          <w:color w:val="212121"/>
        </w:rPr>
        <w:t xml:space="preserve"> за всички нови и преработени стандарти на ISO за управление.</w:t>
      </w:r>
    </w:p>
    <w:p w14:paraId="600537E4" w14:textId="77777777" w:rsidR="005870FC" w:rsidRPr="00FC2176" w:rsidRDefault="005870FC" w:rsidP="007A799F">
      <w:pPr>
        <w:pStyle w:val="FootnoteText"/>
      </w:pPr>
    </w:p>
  </w:footnote>
  <w:footnote w:id="8">
    <w:p w14:paraId="433E1B77" w14:textId="77777777" w:rsidR="005870FC" w:rsidRPr="00E54FD9" w:rsidRDefault="005870FC" w:rsidP="00E54FD9">
      <w:pPr>
        <w:pStyle w:val="Default"/>
        <w:rPr>
          <w:rFonts w:eastAsia="Calibri"/>
          <w:sz w:val="18"/>
          <w:szCs w:val="18"/>
        </w:rPr>
      </w:pPr>
      <w:r>
        <w:rPr>
          <w:rStyle w:val="FootnoteReference"/>
        </w:rPr>
        <w:footnoteRef/>
      </w:r>
      <w:r>
        <w:t xml:space="preserve"> </w:t>
      </w:r>
      <w:r w:rsidRPr="00E54FD9">
        <w:rPr>
          <w:rFonts w:eastAsia="Calibri"/>
          <w:sz w:val="18"/>
          <w:szCs w:val="18"/>
        </w:rPr>
        <w:t xml:space="preserve">Зает е лице на 15 и повече навършени години, което: </w:t>
      </w:r>
    </w:p>
    <w:p w14:paraId="40B084D0" w14:textId="77777777" w:rsidR="005870FC" w:rsidRPr="00E54FD9" w:rsidRDefault="005870FC" w:rsidP="00E54FD9">
      <w:pPr>
        <w:autoSpaceDE w:val="0"/>
        <w:autoSpaceDN w:val="0"/>
        <w:adjustRightInd w:val="0"/>
        <w:spacing w:after="0" w:line="240" w:lineRule="auto"/>
        <w:rPr>
          <w:rFonts w:ascii="Times New Roman" w:hAnsi="Times New Roman"/>
          <w:color w:val="000000"/>
          <w:sz w:val="18"/>
          <w:szCs w:val="18"/>
          <w:lang w:eastAsia="bg-BG"/>
        </w:rPr>
      </w:pPr>
      <w:r w:rsidRPr="00E54FD9">
        <w:rPr>
          <w:rFonts w:ascii="Times New Roman" w:hAnsi="Times New Roman"/>
          <w:color w:val="000000"/>
          <w:sz w:val="18"/>
          <w:szCs w:val="18"/>
          <w:lang w:eastAsia="bg-BG"/>
        </w:rPr>
        <w:t xml:space="preserve">- извършва работа срещу заплащане (в пари или натура) или друг доход; </w:t>
      </w:r>
    </w:p>
    <w:p w14:paraId="4EE3FE92" w14:textId="77777777" w:rsidR="005870FC" w:rsidRDefault="005870FC" w:rsidP="00E54FD9">
      <w:pPr>
        <w:pStyle w:val="FootnoteText"/>
      </w:pPr>
      <w:r w:rsidRPr="00E54FD9">
        <w:rPr>
          <w:rFonts w:ascii="Times New Roman" w:hAnsi="Times New Roman"/>
          <w:color w:val="000000"/>
          <w:sz w:val="18"/>
          <w:szCs w:val="18"/>
          <w:lang w:eastAsia="bg-BG"/>
        </w:rPr>
        <w:t xml:space="preserve">- не работи, но има работа, от която временно отсъства поради отпуск, болест, бременност, раждане и отглеждане на малко дете (за периода, през който получава пълния размер на възнаграждението си), неблагоприятни климатични условия, стачка или други подобни причини. </w:t>
      </w:r>
      <w:r w:rsidRPr="00E54FD9">
        <w:rPr>
          <w:rFonts w:ascii="Times New Roman" w:hAnsi="Times New Roman"/>
          <w:color w:val="000000"/>
          <w:sz w:val="24"/>
          <w:szCs w:val="24"/>
          <w:lang w:eastAsia="bg-BG"/>
        </w:rPr>
        <w:t xml:space="preserve"> </w:t>
      </w:r>
    </w:p>
  </w:footnote>
  <w:footnote w:id="9">
    <w:p w14:paraId="1BAA0D2B" w14:textId="77777777" w:rsidR="005870FC" w:rsidRDefault="005870FC" w:rsidP="004058DB">
      <w:pPr>
        <w:pStyle w:val="Default"/>
        <w:jc w:val="both"/>
      </w:pPr>
      <w:r>
        <w:rPr>
          <w:rStyle w:val="FootnoteReference"/>
        </w:rPr>
        <w:footnoteRef/>
      </w:r>
      <w:r>
        <w:t xml:space="preserve"> </w:t>
      </w:r>
      <w:r w:rsidRPr="00945783">
        <w:rPr>
          <w:rFonts w:eastAsia="Calibri"/>
          <w:sz w:val="18"/>
          <w:szCs w:val="18"/>
          <w:lang w:val="x-none"/>
        </w:rPr>
        <w:t>Самостоятелно заети (самонаети) лица - лицата, които сами или в съдружие с други лица извършват стопанска дейност, работят на свободна (частна) практика или извършват самостоятелно друга дейност, като не наемат на работа други лица;</w:t>
      </w:r>
    </w:p>
  </w:footnote>
  <w:footnote w:id="10">
    <w:p w14:paraId="65C7F433" w14:textId="77777777" w:rsidR="005870FC" w:rsidRDefault="005870FC">
      <w:pPr>
        <w:pStyle w:val="FootnoteText"/>
      </w:pPr>
      <w:r>
        <w:rPr>
          <w:rStyle w:val="FootnoteReference"/>
        </w:rPr>
        <w:footnoteRef/>
      </w:r>
      <w:r>
        <w:t xml:space="preserve"> </w:t>
      </w:r>
      <w:r>
        <w:rPr>
          <w:sz w:val="18"/>
          <w:szCs w:val="18"/>
        </w:rPr>
        <w:t xml:space="preserve">Съгласно чл. 94 от Закона за гражданската регистрация, обн. ДВ. бр.67 от 2от 27 Юли 1999г. и посл. изм </w:t>
      </w:r>
      <w:r>
        <w:t xml:space="preserve"> </w:t>
      </w:r>
    </w:p>
  </w:footnote>
  <w:footnote w:id="11">
    <w:p w14:paraId="42F0309A" w14:textId="77777777" w:rsidR="005870FC" w:rsidRPr="0041093A" w:rsidRDefault="005870FC" w:rsidP="0000444C">
      <w:pPr>
        <w:pStyle w:val="FootnoteText"/>
        <w:rPr>
          <w:rFonts w:ascii="Times New Roman" w:hAnsi="Times New Roman"/>
        </w:rPr>
      </w:pPr>
      <w:r w:rsidRPr="0041093A">
        <w:rPr>
          <w:rStyle w:val="FootnoteReference"/>
          <w:rFonts w:ascii="Times New Roman" w:hAnsi="Times New Roman"/>
        </w:rPr>
        <w:footnoteRef/>
      </w:r>
      <w:r w:rsidRPr="0041093A">
        <w:rPr>
          <w:rFonts w:ascii="Times New Roman" w:hAnsi="Times New Roman"/>
        </w:rPr>
        <w:t xml:space="preserve"> При оценка на допустимостта на кандидата, дейността и изпълнението на условията за предоставяне на минимална помощ се вземат предвид дефинициите по чл. 2, пар. 1 от Регламента.</w:t>
      </w:r>
    </w:p>
  </w:footnote>
  <w:footnote w:id="12">
    <w:p w14:paraId="13856940" w14:textId="77777777" w:rsidR="005870FC" w:rsidRPr="0041093A" w:rsidRDefault="005870FC" w:rsidP="0000444C">
      <w:pPr>
        <w:spacing w:before="120" w:after="120"/>
        <w:jc w:val="both"/>
        <w:rPr>
          <w:rFonts w:ascii="Times New Roman" w:hAnsi="Times New Roman"/>
          <w:sz w:val="20"/>
          <w:szCs w:val="20"/>
        </w:rPr>
      </w:pPr>
      <w:r w:rsidRPr="0041093A">
        <w:rPr>
          <w:rStyle w:val="FootnoteReference"/>
          <w:rFonts w:ascii="Times New Roman" w:hAnsi="Times New Roman"/>
          <w:sz w:val="20"/>
          <w:szCs w:val="20"/>
        </w:rPr>
        <w:footnoteRef/>
      </w:r>
      <w:r w:rsidRPr="0041093A">
        <w:rPr>
          <w:rFonts w:ascii="Times New Roman" w:hAnsi="Times New Roman"/>
          <w:sz w:val="20"/>
          <w:szCs w:val="20"/>
        </w:rPr>
        <w:t xml:space="preserve"> -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002385E9" w14:textId="77777777" w:rsidR="005870FC" w:rsidRPr="004859EC" w:rsidRDefault="005870FC" w:rsidP="0000444C">
      <w:pPr>
        <w:pStyle w:val="FootnoteText"/>
        <w:jc w:val="both"/>
        <w:rPr>
          <w:rFonts w:ascii="Times New Roman" w:hAnsi="Times New Roman"/>
        </w:rPr>
      </w:pPr>
      <w:r w:rsidRPr="0041093A">
        <w:rPr>
          <w:rFonts w:ascii="Times New Roman" w:hAnsi="Times New Roman"/>
        </w:rPr>
        <w:t>-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13">
    <w:p w14:paraId="6DD4DDF6" w14:textId="77777777" w:rsidR="005870FC" w:rsidRDefault="005870FC" w:rsidP="00D827FC">
      <w:pPr>
        <w:pStyle w:val="FootnoteText"/>
      </w:pPr>
      <w:r>
        <w:rPr>
          <w:rStyle w:val="FootnoteReference"/>
        </w:rPr>
        <w:footnoteRef/>
      </w:r>
      <w:r>
        <w:t xml:space="preserve"> Критериите за класиране при еднакъв брой точки могат да бъдат променяни за всяка процедура. </w:t>
      </w:r>
    </w:p>
  </w:footnote>
  <w:footnote w:id="14">
    <w:p w14:paraId="1A54078E" w14:textId="77777777" w:rsidR="005870FC" w:rsidRPr="00670B6B" w:rsidRDefault="005870FC" w:rsidP="00670B6B">
      <w:pPr>
        <w:pStyle w:val="FootnoteText"/>
        <w:jc w:val="both"/>
        <w:rPr>
          <w:rFonts w:ascii="Times New Roman" w:hAnsi="Times New Roman"/>
          <w:sz w:val="16"/>
          <w:szCs w:val="16"/>
        </w:rPr>
      </w:pPr>
      <w:r>
        <w:rPr>
          <w:rStyle w:val="FootnoteReference"/>
        </w:rPr>
        <w:footnoteRef/>
      </w:r>
      <w:r>
        <w:t xml:space="preserve"> </w:t>
      </w:r>
      <w:r w:rsidRPr="00670B6B">
        <w:rPr>
          <w:rFonts w:ascii="Times New Roman" w:hAnsi="Times New Roman"/>
          <w:sz w:val="16"/>
          <w:szCs w:val="16"/>
        </w:rPr>
        <w:t xml:space="preserve">Следва да се разбира запазване на поне половината от заетите работни места в предприятието, независимо дали конкретното лице, заемащо длъжността, е участвало в проекта.  </w:t>
      </w:r>
    </w:p>
  </w:footnote>
  <w:footnote w:id="15">
    <w:p w14:paraId="6B9CDC14" w14:textId="77777777" w:rsidR="005870FC" w:rsidRPr="00523842" w:rsidRDefault="005870FC" w:rsidP="003E27EA">
      <w:pPr>
        <w:pStyle w:val="FootnoteText"/>
        <w:jc w:val="both"/>
        <w:rPr>
          <w:rFonts w:ascii="Times New Roman" w:hAnsi="Times New Roman"/>
        </w:rPr>
      </w:pPr>
      <w:r w:rsidRPr="00523842">
        <w:rPr>
          <w:rStyle w:val="FootnoteReference"/>
          <w:rFonts w:ascii="Times New Roman" w:hAnsi="Times New Roman"/>
        </w:rPr>
        <w:footnoteRef/>
      </w:r>
      <w:r w:rsidRPr="00523842">
        <w:rPr>
          <w:rFonts w:ascii="Times New Roman" w:hAnsi="Times New Roman"/>
        </w:rPr>
        <w:t xml:space="preserve"> Съгласно чл. 32, ал. 3 от Закона за счетоводството „Годишните финансови отчети на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могат да се състоят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16">
    <w:p w14:paraId="1C7EF275" w14:textId="77777777" w:rsidR="005870FC" w:rsidRPr="00523842" w:rsidRDefault="005870FC" w:rsidP="003E27EA">
      <w:pPr>
        <w:pStyle w:val="FootnoteText"/>
        <w:jc w:val="both"/>
        <w:rPr>
          <w:rFonts w:ascii="Times New Roman" w:hAnsi="Times New Roman"/>
        </w:rPr>
      </w:pPr>
      <w:r w:rsidRPr="00523842">
        <w:rPr>
          <w:rStyle w:val="FootnoteReference"/>
          <w:rFonts w:ascii="Times New Roman" w:hAnsi="Times New Roman"/>
        </w:rPr>
        <w:footnoteRef/>
      </w:r>
      <w:r w:rsidRPr="00523842">
        <w:rPr>
          <w:rFonts w:ascii="Times New Roman" w:hAnsi="Times New Roman"/>
        </w:rPr>
        <w:t xml:space="preserve"> Когато кандидатът съставя консолидиран финансов отчет или участва в консолидация, следва да бъдат представени консолидирани Отчет за приходите и разходите и Счетоводен баланс за </w:t>
      </w:r>
      <w:r w:rsidRPr="007C01C3">
        <w:rPr>
          <w:rFonts w:ascii="Times New Roman" w:hAnsi="Times New Roman"/>
        </w:rPr>
        <w:t>последните две приключили финансови години</w:t>
      </w:r>
      <w:r w:rsidRPr="00523842">
        <w:rPr>
          <w:rFonts w:ascii="Times New Roman" w:hAnsi="Times New Roman"/>
        </w:rPr>
        <w:t>.</w:t>
      </w:r>
    </w:p>
  </w:footnote>
  <w:footnote w:id="17">
    <w:p w14:paraId="2FB38685" w14:textId="77777777" w:rsidR="005870FC" w:rsidRPr="002756D7" w:rsidRDefault="005870FC" w:rsidP="003E27EA">
      <w:pPr>
        <w:pStyle w:val="FootnoteText"/>
        <w:jc w:val="both"/>
        <w:rPr>
          <w:rFonts w:ascii="Times New Roman" w:hAnsi="Times New Roman"/>
        </w:rPr>
      </w:pPr>
      <w:r>
        <w:rPr>
          <w:rStyle w:val="FootnoteReference"/>
        </w:rPr>
        <w:footnoteRef/>
      </w:r>
      <w:r>
        <w:t xml:space="preserve"> </w:t>
      </w:r>
      <w:r w:rsidRPr="002756D7">
        <w:rPr>
          <w:rFonts w:ascii="Times New Roman" w:hAnsi="Times New Roman"/>
        </w:rPr>
        <w:t>Посоченият документ е част от Годишния отчет за дейността на кандидата. Съгласно чл. 92, ал.З, чл.219, ал.4, чл.252,</w:t>
      </w:r>
      <w:r>
        <w:rPr>
          <w:rFonts w:ascii="Times New Roman" w:hAnsi="Times New Roman"/>
        </w:rPr>
        <w:t xml:space="preserve"> </w:t>
      </w:r>
      <w:r w:rsidRPr="002756D7">
        <w:rPr>
          <w:rFonts w:ascii="Times New Roman" w:hAnsi="Times New Roman"/>
        </w:rPr>
        <w:t>ал.2, чл.259, ал.З от ЗКПО и чл.51 от ЗДДФЛ, юридическите и физическите лица заедно с годишната данъчна</w:t>
      </w:r>
      <w:r>
        <w:rPr>
          <w:rFonts w:ascii="Times New Roman" w:hAnsi="Times New Roman"/>
        </w:rPr>
        <w:t xml:space="preserve"> </w:t>
      </w:r>
      <w:r w:rsidRPr="002756D7">
        <w:rPr>
          <w:rFonts w:ascii="Times New Roman" w:hAnsi="Times New Roman"/>
        </w:rPr>
        <w:t>декларация подават и Годишен отчет за дейността (в сила от 01.01.2010 г.). Документът не се изисква за едноличните</w:t>
      </w:r>
      <w:r>
        <w:rPr>
          <w:rFonts w:ascii="Times New Roman" w:hAnsi="Times New Roman"/>
        </w:rPr>
        <w:t xml:space="preserve"> </w:t>
      </w:r>
      <w:r w:rsidRPr="002756D7">
        <w:rPr>
          <w:rFonts w:ascii="Times New Roman" w:hAnsi="Times New Roman"/>
        </w:rPr>
        <w:t>търговци, които не подлежат на задължителен независим финансов одит и на които размерът на нетните приходи от</w:t>
      </w:r>
      <w:r>
        <w:rPr>
          <w:rFonts w:ascii="Times New Roman" w:hAnsi="Times New Roman"/>
        </w:rPr>
        <w:t xml:space="preserve"> </w:t>
      </w:r>
      <w:r w:rsidRPr="002756D7">
        <w:rPr>
          <w:rFonts w:ascii="Times New Roman" w:hAnsi="Times New Roman"/>
        </w:rPr>
        <w:t>продажби за текущата година не надхвърля 100 000 лв. В този случай се представя Справка за заети лица към Отчета</w:t>
      </w:r>
      <w:r>
        <w:rPr>
          <w:rFonts w:ascii="Times New Roman" w:hAnsi="Times New Roman"/>
        </w:rPr>
        <w:t xml:space="preserve"> </w:t>
      </w:r>
      <w:r w:rsidRPr="002756D7">
        <w:rPr>
          <w:rFonts w:ascii="Times New Roman" w:hAnsi="Times New Roman"/>
        </w:rPr>
        <w:t>за приходи и разходи към Годишния отчет за дейността.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897D" w14:textId="77777777" w:rsidR="005870FC" w:rsidRDefault="005870FC">
    <w:pPr>
      <w:pStyle w:val="Header"/>
      <w:pBdr>
        <w:bottom w:val="single" w:sz="4" w:space="1" w:color="A5A5A5"/>
      </w:pBdr>
      <w:tabs>
        <w:tab w:val="left" w:pos="2580"/>
        <w:tab w:val="left" w:pos="2985"/>
      </w:tabs>
      <w:spacing w:after="120" w:line="276" w:lineRule="auto"/>
      <w:rPr>
        <w:b/>
        <w:bCs/>
        <w:color w:val="44546A"/>
        <w:sz w:val="28"/>
        <w:szCs w:val="28"/>
        <w:lang w:val="en-US"/>
      </w:rPr>
    </w:pPr>
    <w:r>
      <w:rPr>
        <w:noProof/>
        <w:lang w:eastAsia="bg-BG"/>
      </w:rPr>
      <w:drawing>
        <wp:anchor distT="0" distB="0" distL="114300" distR="114300" simplePos="0" relativeHeight="251656192" behindDoc="0" locked="0" layoutInCell="1" allowOverlap="1" wp14:anchorId="5251CA8F" wp14:editId="26D4B87A">
          <wp:simplePos x="0" y="0"/>
          <wp:positionH relativeFrom="column">
            <wp:posOffset>33655</wp:posOffset>
          </wp:positionH>
          <wp:positionV relativeFrom="paragraph">
            <wp:posOffset>-197485</wp:posOffset>
          </wp:positionV>
          <wp:extent cx="1094105" cy="11341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094105" cy="1134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9264" behindDoc="0" locked="0" layoutInCell="1" allowOverlap="1" wp14:anchorId="49B5E2B5" wp14:editId="61C7110B">
          <wp:simplePos x="0" y="0"/>
          <wp:positionH relativeFrom="column">
            <wp:posOffset>4558030</wp:posOffset>
          </wp:positionH>
          <wp:positionV relativeFrom="paragraph">
            <wp:posOffset>-93980</wp:posOffset>
          </wp:positionV>
          <wp:extent cx="1138555" cy="974090"/>
          <wp:effectExtent l="0" t="0" r="444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555" cy="974090"/>
                  </a:xfrm>
                  <a:prstGeom prst="rect">
                    <a:avLst/>
                  </a:prstGeom>
                  <a:noFill/>
                </pic:spPr>
              </pic:pic>
            </a:graphicData>
          </a:graphic>
          <wp14:sizeRelH relativeFrom="page">
            <wp14:pctWidth>0</wp14:pctWidth>
          </wp14:sizeRelH>
          <wp14:sizeRelV relativeFrom="page">
            <wp14:pctHeight>0</wp14:pctHeight>
          </wp14:sizeRelV>
        </wp:anchor>
      </w:drawing>
    </w:r>
  </w:p>
  <w:p w14:paraId="241888C8" w14:textId="77777777" w:rsidR="005870FC" w:rsidRPr="00A60911" w:rsidRDefault="005870FC">
    <w:pPr>
      <w:pStyle w:val="Header"/>
      <w:pBdr>
        <w:bottom w:val="single" w:sz="4" w:space="1" w:color="A5A5A5"/>
      </w:pBdr>
      <w:tabs>
        <w:tab w:val="left" w:pos="2580"/>
        <w:tab w:val="left" w:pos="2985"/>
      </w:tabs>
      <w:spacing w:after="120" w:line="276" w:lineRule="auto"/>
      <w:rPr>
        <w:b/>
        <w:bCs/>
        <w:color w:val="44546A"/>
        <w:lang w:val="en-US"/>
      </w:rPr>
    </w:pPr>
  </w:p>
  <w:p w14:paraId="5C442A9C" w14:textId="77777777" w:rsidR="005870FC" w:rsidRPr="000A5EA6" w:rsidRDefault="005870FC">
    <w:pPr>
      <w:pStyle w:val="Header"/>
      <w:pBdr>
        <w:bottom w:val="single" w:sz="4" w:space="1" w:color="A5A5A5"/>
      </w:pBdr>
      <w:tabs>
        <w:tab w:val="left" w:pos="2580"/>
        <w:tab w:val="left" w:pos="2985"/>
      </w:tabs>
      <w:spacing w:after="120" w:line="276" w:lineRule="auto"/>
      <w:rPr>
        <w:color w:val="7F7F7F"/>
        <w:sz w:val="32"/>
        <w:szCs w:val="32"/>
      </w:rPr>
    </w:pPr>
    <w:r>
      <w:rPr>
        <w:color w:val="7F7F7F"/>
        <w:sz w:val="40"/>
        <w:szCs w:val="40"/>
        <w:lang w:val="en-US"/>
      </w:rPr>
      <w:tab/>
    </w:r>
    <w:r>
      <w:rPr>
        <w:color w:val="7F7F7F"/>
        <w:sz w:val="32"/>
        <w:szCs w:val="32"/>
      </w:rPr>
      <w:t>МИГ</w:t>
    </w:r>
    <w:r>
      <w:rPr>
        <w:color w:val="7F7F7F"/>
        <w:sz w:val="32"/>
        <w:szCs w:val="32"/>
        <w:lang w:val="en-US"/>
      </w:rPr>
      <w:t xml:space="preserve"> – </w:t>
    </w:r>
    <w:r>
      <w:rPr>
        <w:color w:val="7F7F7F"/>
        <w:sz w:val="32"/>
        <w:szCs w:val="32"/>
      </w:rPr>
      <w:t>ЛЯСКОВЕЦ - СТРАЖИЦА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C2FD6"/>
    <w:multiLevelType w:val="hybridMultilevel"/>
    <w:tmpl w:val="E21CFDE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 w15:restartNumberingAfterBreak="0">
    <w:nsid w:val="08CC2EDE"/>
    <w:multiLevelType w:val="multilevel"/>
    <w:tmpl w:val="1A36E1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450"/>
        </w:tabs>
        <w:ind w:left="450" w:hanging="45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4" w15:restartNumberingAfterBreak="0">
    <w:nsid w:val="0A1B51A4"/>
    <w:multiLevelType w:val="hybridMultilevel"/>
    <w:tmpl w:val="46D4989A"/>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E9335E"/>
    <w:multiLevelType w:val="hybridMultilevel"/>
    <w:tmpl w:val="66A8BF1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2E0349"/>
    <w:multiLevelType w:val="hybridMultilevel"/>
    <w:tmpl w:val="D9AE66CA"/>
    <w:lvl w:ilvl="0" w:tplc="7FF2F66A">
      <w:start w:val="1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05E7ACA"/>
    <w:multiLevelType w:val="hybridMultilevel"/>
    <w:tmpl w:val="AEF46956"/>
    <w:lvl w:ilvl="0" w:tplc="0402000F">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323355F"/>
    <w:multiLevelType w:val="hybridMultilevel"/>
    <w:tmpl w:val="AFC48DD2"/>
    <w:lvl w:ilvl="0" w:tplc="4A702700">
      <w:start w:val="1"/>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9" w15:restartNumberingAfterBreak="0">
    <w:nsid w:val="23E00FFC"/>
    <w:multiLevelType w:val="hybridMultilevel"/>
    <w:tmpl w:val="BD840E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DA45EE"/>
    <w:multiLevelType w:val="multilevel"/>
    <w:tmpl w:val="3B6AE0CC"/>
    <w:lvl w:ilvl="0">
      <w:start w:val="1"/>
      <w:numFmt w:val="decimal"/>
      <w:lvlText w:val="%1."/>
      <w:lvlJc w:val="left"/>
      <w:pPr>
        <w:ind w:left="720" w:hanging="360"/>
      </w:pPr>
      <w:rPr>
        <w:rFonts w:hint="default"/>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A8088D"/>
    <w:multiLevelType w:val="hybridMultilevel"/>
    <w:tmpl w:val="5A6C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0A3C86"/>
    <w:multiLevelType w:val="hybridMultilevel"/>
    <w:tmpl w:val="F510E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3F9178E"/>
    <w:multiLevelType w:val="hybridMultilevel"/>
    <w:tmpl w:val="5D04DDA2"/>
    <w:lvl w:ilvl="0" w:tplc="477004D4">
      <w:start w:val="4"/>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42DD5F85"/>
    <w:multiLevelType w:val="multilevel"/>
    <w:tmpl w:val="C2BC56F4"/>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CD34CF"/>
    <w:multiLevelType w:val="hybridMultilevel"/>
    <w:tmpl w:val="60587320"/>
    <w:lvl w:ilvl="0" w:tplc="5D749722">
      <w:start w:val="1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4A2238C2"/>
    <w:multiLevelType w:val="hybridMultilevel"/>
    <w:tmpl w:val="8E04DB3A"/>
    <w:lvl w:ilvl="0" w:tplc="0402000F">
      <w:start w:val="3"/>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A6A162E"/>
    <w:multiLevelType w:val="multilevel"/>
    <w:tmpl w:val="2D6CE9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1E7FEB"/>
    <w:multiLevelType w:val="hybridMultilevel"/>
    <w:tmpl w:val="1EA86DF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E79"/>
    <w:multiLevelType w:val="hybridMultilevel"/>
    <w:tmpl w:val="1BB6749C"/>
    <w:lvl w:ilvl="0" w:tplc="F284410E">
      <w:numFmt w:val="bullet"/>
      <w:lvlText w:val="•"/>
      <w:lvlJc w:val="left"/>
      <w:pPr>
        <w:ind w:left="1211" w:hanging="360"/>
      </w:pPr>
      <w:rPr>
        <w:rFonts w:ascii="Times New Roman" w:eastAsia="Times New Roman" w:hAnsi="Times New Roman" w:hint="default"/>
      </w:rPr>
    </w:lvl>
    <w:lvl w:ilvl="1" w:tplc="04020003" w:tentative="1">
      <w:start w:val="1"/>
      <w:numFmt w:val="bullet"/>
      <w:lvlText w:val="o"/>
      <w:lvlJc w:val="left"/>
      <w:pPr>
        <w:ind w:left="2084" w:hanging="360"/>
      </w:pPr>
      <w:rPr>
        <w:rFonts w:ascii="Courier New" w:hAnsi="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24" w15:restartNumberingAfterBreak="0">
    <w:nsid w:val="577D1E2B"/>
    <w:multiLevelType w:val="hybridMultilevel"/>
    <w:tmpl w:val="4808AF30"/>
    <w:lvl w:ilvl="0" w:tplc="95F2E6D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83F3024"/>
    <w:multiLevelType w:val="multilevel"/>
    <w:tmpl w:val="212864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A209C2"/>
    <w:multiLevelType w:val="hybridMultilevel"/>
    <w:tmpl w:val="EF08B658"/>
    <w:lvl w:ilvl="0" w:tplc="95F2E6D0">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8E58AE"/>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9"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F0C0D22"/>
    <w:multiLevelType w:val="hybridMultilevel"/>
    <w:tmpl w:val="66A8BF1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6A876E0"/>
    <w:multiLevelType w:val="hybridMultilevel"/>
    <w:tmpl w:val="5C689980"/>
    <w:lvl w:ilvl="0" w:tplc="0402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BD74EF"/>
    <w:multiLevelType w:val="multilevel"/>
    <w:tmpl w:val="A946858C"/>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lang w:val="bg-BG"/>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FE7733"/>
    <w:multiLevelType w:val="multilevel"/>
    <w:tmpl w:val="552CDC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4253E2"/>
    <w:multiLevelType w:val="hybridMultilevel"/>
    <w:tmpl w:val="AAE245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72F85439"/>
    <w:multiLevelType w:val="hybridMultilevel"/>
    <w:tmpl w:val="B1D6D720"/>
    <w:lvl w:ilvl="0" w:tplc="89BA0590">
      <w:start w:val="1"/>
      <w:numFmt w:val="bullet"/>
      <w:lvlText w:val=""/>
      <w:lvlJc w:val="left"/>
      <w:pPr>
        <w:tabs>
          <w:tab w:val="num" w:pos="1620"/>
        </w:tabs>
        <w:ind w:left="1620" w:hanging="360"/>
      </w:pPr>
      <w:rPr>
        <w:rFonts w:ascii="Wingdings" w:hAnsi="Wingdings" w:hint="default"/>
        <w:b w:val="0"/>
        <w:i w:val="0"/>
      </w:rPr>
    </w:lvl>
    <w:lvl w:ilvl="1" w:tplc="64D00410">
      <w:start w:val="23"/>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343E1"/>
    <w:multiLevelType w:val="hybridMultilevel"/>
    <w:tmpl w:val="2792849C"/>
    <w:lvl w:ilvl="0" w:tplc="AA4CD522">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3764D42"/>
    <w:multiLevelType w:val="hybridMultilevel"/>
    <w:tmpl w:val="5466318C"/>
    <w:lvl w:ilvl="0" w:tplc="71683598">
      <w:start w:val="8"/>
      <w:numFmt w:val="bullet"/>
      <w:lvlText w:val="-"/>
      <w:lvlJc w:val="left"/>
      <w:pPr>
        <w:ind w:left="720" w:hanging="360"/>
      </w:pPr>
      <w:rPr>
        <w:rFonts w:ascii="Times New Roman" w:eastAsia="Times New Roman" w:hAnsi="Times New Roman" w:cs="Times New Roman" w:hint="default"/>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3A00510"/>
    <w:multiLevelType w:val="hybridMultilevel"/>
    <w:tmpl w:val="D638B720"/>
    <w:lvl w:ilvl="0" w:tplc="95F2E6D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5E15E9"/>
    <w:multiLevelType w:val="hybridMultilevel"/>
    <w:tmpl w:val="BE5E98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AB25FDE"/>
    <w:multiLevelType w:val="multilevel"/>
    <w:tmpl w:val="67743DCE"/>
    <w:lvl w:ilvl="0">
      <w:start w:val="2"/>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4" w15:restartNumberingAfterBreak="0">
    <w:nsid w:val="7D671A81"/>
    <w:multiLevelType w:val="hybridMultilevel"/>
    <w:tmpl w:val="DBD61F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D15889"/>
    <w:multiLevelType w:val="hybridMultilevel"/>
    <w:tmpl w:val="D67C0944"/>
    <w:lvl w:ilvl="0" w:tplc="456A3FD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31"/>
  </w:num>
  <w:num w:numId="2">
    <w:abstractNumId w:val="14"/>
  </w:num>
  <w:num w:numId="3">
    <w:abstractNumId w:val="32"/>
  </w:num>
  <w:num w:numId="4">
    <w:abstractNumId w:val="9"/>
  </w:num>
  <w:num w:numId="5">
    <w:abstractNumId w:val="44"/>
  </w:num>
  <w:num w:numId="6">
    <w:abstractNumId w:val="27"/>
  </w:num>
  <w:num w:numId="7">
    <w:abstractNumId w:val="28"/>
  </w:num>
  <w:num w:numId="8">
    <w:abstractNumId w:val="29"/>
  </w:num>
  <w:num w:numId="9">
    <w:abstractNumId w:val="18"/>
  </w:num>
  <w:num w:numId="10">
    <w:abstractNumId w:val="41"/>
  </w:num>
  <w:num w:numId="11">
    <w:abstractNumId w:val="24"/>
  </w:num>
  <w:num w:numId="12">
    <w:abstractNumId w:val="2"/>
  </w:num>
  <w:num w:numId="13">
    <w:abstractNumId w:val="45"/>
  </w:num>
  <w:num w:numId="14">
    <w:abstractNumId w:val="8"/>
  </w:num>
  <w:num w:numId="15">
    <w:abstractNumId w:val="34"/>
  </w:num>
  <w:num w:numId="16">
    <w:abstractNumId w:val="22"/>
  </w:num>
  <w:num w:numId="17">
    <w:abstractNumId w:val="25"/>
  </w:num>
  <w:num w:numId="18">
    <w:abstractNumId w:val="3"/>
  </w:num>
  <w:num w:numId="19">
    <w:abstractNumId w:val="43"/>
  </w:num>
  <w:num w:numId="20">
    <w:abstractNumId w:val="33"/>
  </w:num>
  <w:num w:numId="21">
    <w:abstractNumId w:val="38"/>
  </w:num>
  <w:num w:numId="22">
    <w:abstractNumId w:val="0"/>
  </w:num>
  <w:num w:numId="23">
    <w:abstractNumId w:val="10"/>
  </w:num>
  <w:num w:numId="24">
    <w:abstractNumId w:val="36"/>
  </w:num>
  <w:num w:numId="25">
    <w:abstractNumId w:val="37"/>
  </w:num>
  <w:num w:numId="26">
    <w:abstractNumId w:val="4"/>
  </w:num>
  <w:num w:numId="27">
    <w:abstractNumId w:val="6"/>
  </w:num>
  <w:num w:numId="28">
    <w:abstractNumId w:val="13"/>
  </w:num>
  <w:num w:numId="29">
    <w:abstractNumId w:val="1"/>
  </w:num>
  <w:num w:numId="30">
    <w:abstractNumId w:val="12"/>
  </w:num>
  <w:num w:numId="31">
    <w:abstractNumId w:val="5"/>
  </w:num>
  <w:num w:numId="32">
    <w:abstractNumId w:val="30"/>
  </w:num>
  <w:num w:numId="33">
    <w:abstractNumId w:val="16"/>
  </w:num>
  <w:num w:numId="34">
    <w:abstractNumId w:val="21"/>
  </w:num>
  <w:num w:numId="35">
    <w:abstractNumId w:val="7"/>
  </w:num>
  <w:num w:numId="36">
    <w:abstractNumId w:val="40"/>
  </w:num>
  <w:num w:numId="37">
    <w:abstractNumId w:val="23"/>
  </w:num>
  <w:num w:numId="38">
    <w:abstractNumId w:val="42"/>
  </w:num>
  <w:num w:numId="39">
    <w:abstractNumId w:val="39"/>
  </w:num>
  <w:num w:numId="40">
    <w:abstractNumId w:val="46"/>
  </w:num>
  <w:num w:numId="41">
    <w:abstractNumId w:val="20"/>
  </w:num>
  <w:num w:numId="42">
    <w:abstractNumId w:val="35"/>
  </w:num>
  <w:num w:numId="43">
    <w:abstractNumId w:val="26"/>
  </w:num>
  <w:num w:numId="44">
    <w:abstractNumId w:val="11"/>
  </w:num>
  <w:num w:numId="45">
    <w:abstractNumId w:val="15"/>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189B"/>
    <w:rsid w:val="00002EB0"/>
    <w:rsid w:val="00003467"/>
    <w:rsid w:val="00003CF0"/>
    <w:rsid w:val="0000444C"/>
    <w:rsid w:val="00004D24"/>
    <w:rsid w:val="00005897"/>
    <w:rsid w:val="000063EE"/>
    <w:rsid w:val="0000793A"/>
    <w:rsid w:val="00007D9A"/>
    <w:rsid w:val="0001016E"/>
    <w:rsid w:val="000115A9"/>
    <w:rsid w:val="0001401C"/>
    <w:rsid w:val="0001460B"/>
    <w:rsid w:val="00014BF6"/>
    <w:rsid w:val="00016912"/>
    <w:rsid w:val="000169F0"/>
    <w:rsid w:val="00017C8A"/>
    <w:rsid w:val="0002056D"/>
    <w:rsid w:val="00022897"/>
    <w:rsid w:val="000231F8"/>
    <w:rsid w:val="00024AFB"/>
    <w:rsid w:val="00024F16"/>
    <w:rsid w:val="000257AD"/>
    <w:rsid w:val="00025961"/>
    <w:rsid w:val="000261AD"/>
    <w:rsid w:val="0002724E"/>
    <w:rsid w:val="000275E7"/>
    <w:rsid w:val="00030119"/>
    <w:rsid w:val="00031D4A"/>
    <w:rsid w:val="00032BF1"/>
    <w:rsid w:val="00035BF0"/>
    <w:rsid w:val="00035C85"/>
    <w:rsid w:val="00044DFD"/>
    <w:rsid w:val="000453BA"/>
    <w:rsid w:val="0004629F"/>
    <w:rsid w:val="000477EA"/>
    <w:rsid w:val="00050091"/>
    <w:rsid w:val="000503C6"/>
    <w:rsid w:val="0005088E"/>
    <w:rsid w:val="00050F2D"/>
    <w:rsid w:val="00051212"/>
    <w:rsid w:val="00052675"/>
    <w:rsid w:val="000553B8"/>
    <w:rsid w:val="00056C55"/>
    <w:rsid w:val="00057E5D"/>
    <w:rsid w:val="00057EEE"/>
    <w:rsid w:val="00060757"/>
    <w:rsid w:val="0006081F"/>
    <w:rsid w:val="0006180A"/>
    <w:rsid w:val="000636EA"/>
    <w:rsid w:val="00065A28"/>
    <w:rsid w:val="00066971"/>
    <w:rsid w:val="00072D83"/>
    <w:rsid w:val="00072E46"/>
    <w:rsid w:val="0007304D"/>
    <w:rsid w:val="0007641C"/>
    <w:rsid w:val="000768DE"/>
    <w:rsid w:val="00076BEE"/>
    <w:rsid w:val="00077EEA"/>
    <w:rsid w:val="00081806"/>
    <w:rsid w:val="00081AB7"/>
    <w:rsid w:val="0008298C"/>
    <w:rsid w:val="00084E2F"/>
    <w:rsid w:val="000850FD"/>
    <w:rsid w:val="00085A09"/>
    <w:rsid w:val="00091B45"/>
    <w:rsid w:val="00091B9D"/>
    <w:rsid w:val="00092B75"/>
    <w:rsid w:val="00093083"/>
    <w:rsid w:val="00093CB8"/>
    <w:rsid w:val="000968B1"/>
    <w:rsid w:val="0009715C"/>
    <w:rsid w:val="00097D1A"/>
    <w:rsid w:val="000A0621"/>
    <w:rsid w:val="000A085D"/>
    <w:rsid w:val="000A0BE0"/>
    <w:rsid w:val="000A3476"/>
    <w:rsid w:val="000A44DC"/>
    <w:rsid w:val="000A5EA6"/>
    <w:rsid w:val="000B00EC"/>
    <w:rsid w:val="000B0A5C"/>
    <w:rsid w:val="000B29DB"/>
    <w:rsid w:val="000B2CAC"/>
    <w:rsid w:val="000B3E65"/>
    <w:rsid w:val="000B5C62"/>
    <w:rsid w:val="000B6C99"/>
    <w:rsid w:val="000B7F2F"/>
    <w:rsid w:val="000C05CD"/>
    <w:rsid w:val="000C2033"/>
    <w:rsid w:val="000C3FD6"/>
    <w:rsid w:val="000C4413"/>
    <w:rsid w:val="000C466E"/>
    <w:rsid w:val="000C5EE7"/>
    <w:rsid w:val="000D043C"/>
    <w:rsid w:val="000D139D"/>
    <w:rsid w:val="000D266F"/>
    <w:rsid w:val="000D3C1D"/>
    <w:rsid w:val="000D65AB"/>
    <w:rsid w:val="000D7807"/>
    <w:rsid w:val="000D7FAC"/>
    <w:rsid w:val="000E0306"/>
    <w:rsid w:val="000E0388"/>
    <w:rsid w:val="000E0A0C"/>
    <w:rsid w:val="000E0C5B"/>
    <w:rsid w:val="000E1259"/>
    <w:rsid w:val="000E6245"/>
    <w:rsid w:val="000E733F"/>
    <w:rsid w:val="000F0A6D"/>
    <w:rsid w:val="000F33C1"/>
    <w:rsid w:val="000F3A26"/>
    <w:rsid w:val="000F4269"/>
    <w:rsid w:val="000F4530"/>
    <w:rsid w:val="000F5FF8"/>
    <w:rsid w:val="000F6998"/>
    <w:rsid w:val="000F79CE"/>
    <w:rsid w:val="0010018A"/>
    <w:rsid w:val="001028C1"/>
    <w:rsid w:val="00103CE2"/>
    <w:rsid w:val="00105C86"/>
    <w:rsid w:val="00105E90"/>
    <w:rsid w:val="001101A8"/>
    <w:rsid w:val="00114FDA"/>
    <w:rsid w:val="001163BC"/>
    <w:rsid w:val="00116566"/>
    <w:rsid w:val="00116950"/>
    <w:rsid w:val="00120CFB"/>
    <w:rsid w:val="00120E24"/>
    <w:rsid w:val="00122A71"/>
    <w:rsid w:val="00125228"/>
    <w:rsid w:val="00126219"/>
    <w:rsid w:val="00126ABF"/>
    <w:rsid w:val="00126D51"/>
    <w:rsid w:val="00126E4D"/>
    <w:rsid w:val="001325F9"/>
    <w:rsid w:val="00132B9C"/>
    <w:rsid w:val="00132E8E"/>
    <w:rsid w:val="00132F68"/>
    <w:rsid w:val="00132F6B"/>
    <w:rsid w:val="00134695"/>
    <w:rsid w:val="00135433"/>
    <w:rsid w:val="001369FC"/>
    <w:rsid w:val="00137CCA"/>
    <w:rsid w:val="00140F53"/>
    <w:rsid w:val="00141380"/>
    <w:rsid w:val="00143716"/>
    <w:rsid w:val="0014647A"/>
    <w:rsid w:val="00151627"/>
    <w:rsid w:val="00152029"/>
    <w:rsid w:val="00153C49"/>
    <w:rsid w:val="001552FB"/>
    <w:rsid w:val="00155F3F"/>
    <w:rsid w:val="00156A73"/>
    <w:rsid w:val="0015716B"/>
    <w:rsid w:val="001613A5"/>
    <w:rsid w:val="00161D6B"/>
    <w:rsid w:val="0016253F"/>
    <w:rsid w:val="0016317B"/>
    <w:rsid w:val="00170A94"/>
    <w:rsid w:val="00170EED"/>
    <w:rsid w:val="00172934"/>
    <w:rsid w:val="001737C2"/>
    <w:rsid w:val="00175117"/>
    <w:rsid w:val="00176871"/>
    <w:rsid w:val="00176BD7"/>
    <w:rsid w:val="001779D3"/>
    <w:rsid w:val="00177AC9"/>
    <w:rsid w:val="00185C95"/>
    <w:rsid w:val="00190179"/>
    <w:rsid w:val="00193417"/>
    <w:rsid w:val="00194CB8"/>
    <w:rsid w:val="00196CE3"/>
    <w:rsid w:val="00197003"/>
    <w:rsid w:val="001A0107"/>
    <w:rsid w:val="001A10B1"/>
    <w:rsid w:val="001A4646"/>
    <w:rsid w:val="001A56DE"/>
    <w:rsid w:val="001A6D85"/>
    <w:rsid w:val="001B0BE9"/>
    <w:rsid w:val="001B36AA"/>
    <w:rsid w:val="001B6D47"/>
    <w:rsid w:val="001B7383"/>
    <w:rsid w:val="001C03C2"/>
    <w:rsid w:val="001C0CD4"/>
    <w:rsid w:val="001C3E8D"/>
    <w:rsid w:val="001C5F75"/>
    <w:rsid w:val="001C75EE"/>
    <w:rsid w:val="001D09EC"/>
    <w:rsid w:val="001D19B0"/>
    <w:rsid w:val="001D22EF"/>
    <w:rsid w:val="001D3565"/>
    <w:rsid w:val="001D3B47"/>
    <w:rsid w:val="001D57FE"/>
    <w:rsid w:val="001D64F9"/>
    <w:rsid w:val="001D687A"/>
    <w:rsid w:val="001D6EC9"/>
    <w:rsid w:val="001D79C3"/>
    <w:rsid w:val="001E366F"/>
    <w:rsid w:val="001E3FB7"/>
    <w:rsid w:val="001E48A6"/>
    <w:rsid w:val="001E6907"/>
    <w:rsid w:val="001F1338"/>
    <w:rsid w:val="001F20F5"/>
    <w:rsid w:val="001F264F"/>
    <w:rsid w:val="001F3B97"/>
    <w:rsid w:val="001F4F5B"/>
    <w:rsid w:val="001F5B1C"/>
    <w:rsid w:val="001F6435"/>
    <w:rsid w:val="001F6AFD"/>
    <w:rsid w:val="001F6E67"/>
    <w:rsid w:val="001F6EAE"/>
    <w:rsid w:val="001F6F10"/>
    <w:rsid w:val="001F7F7A"/>
    <w:rsid w:val="00200331"/>
    <w:rsid w:val="0020082D"/>
    <w:rsid w:val="00200B88"/>
    <w:rsid w:val="002077C4"/>
    <w:rsid w:val="00210955"/>
    <w:rsid w:val="00211624"/>
    <w:rsid w:val="00212B26"/>
    <w:rsid w:val="0021417F"/>
    <w:rsid w:val="00215ED0"/>
    <w:rsid w:val="002163CC"/>
    <w:rsid w:val="0021647A"/>
    <w:rsid w:val="00216629"/>
    <w:rsid w:val="00216701"/>
    <w:rsid w:val="00220D6F"/>
    <w:rsid w:val="002214D3"/>
    <w:rsid w:val="0022158A"/>
    <w:rsid w:val="00223651"/>
    <w:rsid w:val="00224055"/>
    <w:rsid w:val="00224D80"/>
    <w:rsid w:val="00226763"/>
    <w:rsid w:val="00227606"/>
    <w:rsid w:val="00227DE7"/>
    <w:rsid w:val="00230A9D"/>
    <w:rsid w:val="00230BF8"/>
    <w:rsid w:val="002325A3"/>
    <w:rsid w:val="0023293E"/>
    <w:rsid w:val="002347A2"/>
    <w:rsid w:val="0023521F"/>
    <w:rsid w:val="00235E48"/>
    <w:rsid w:val="0023606E"/>
    <w:rsid w:val="00237BC8"/>
    <w:rsid w:val="0024057E"/>
    <w:rsid w:val="00242F63"/>
    <w:rsid w:val="002438BB"/>
    <w:rsid w:val="0024413F"/>
    <w:rsid w:val="00245C7F"/>
    <w:rsid w:val="002472B1"/>
    <w:rsid w:val="00253A0E"/>
    <w:rsid w:val="00253BA7"/>
    <w:rsid w:val="002561B1"/>
    <w:rsid w:val="002579C2"/>
    <w:rsid w:val="00257D5A"/>
    <w:rsid w:val="00261BCB"/>
    <w:rsid w:val="0026201E"/>
    <w:rsid w:val="002624D0"/>
    <w:rsid w:val="00262BA3"/>
    <w:rsid w:val="0026657F"/>
    <w:rsid w:val="00267777"/>
    <w:rsid w:val="002703A7"/>
    <w:rsid w:val="002705DF"/>
    <w:rsid w:val="002709D4"/>
    <w:rsid w:val="002709E4"/>
    <w:rsid w:val="00271B24"/>
    <w:rsid w:val="00272027"/>
    <w:rsid w:val="00272336"/>
    <w:rsid w:val="00274014"/>
    <w:rsid w:val="00274833"/>
    <w:rsid w:val="002771F3"/>
    <w:rsid w:val="002806B6"/>
    <w:rsid w:val="0028135E"/>
    <w:rsid w:val="0028281D"/>
    <w:rsid w:val="00283961"/>
    <w:rsid w:val="002912C3"/>
    <w:rsid w:val="00294470"/>
    <w:rsid w:val="0029462F"/>
    <w:rsid w:val="00295C49"/>
    <w:rsid w:val="00295D59"/>
    <w:rsid w:val="0029608B"/>
    <w:rsid w:val="0029712A"/>
    <w:rsid w:val="00297C8B"/>
    <w:rsid w:val="002A18BB"/>
    <w:rsid w:val="002A35B4"/>
    <w:rsid w:val="002A633B"/>
    <w:rsid w:val="002B0A3D"/>
    <w:rsid w:val="002B11C8"/>
    <w:rsid w:val="002B3008"/>
    <w:rsid w:val="002B3638"/>
    <w:rsid w:val="002B4BA9"/>
    <w:rsid w:val="002B4F5F"/>
    <w:rsid w:val="002B6405"/>
    <w:rsid w:val="002B7CE6"/>
    <w:rsid w:val="002C08E5"/>
    <w:rsid w:val="002C11AD"/>
    <w:rsid w:val="002C22A0"/>
    <w:rsid w:val="002C2E1C"/>
    <w:rsid w:val="002C4F9D"/>
    <w:rsid w:val="002C5286"/>
    <w:rsid w:val="002C6D30"/>
    <w:rsid w:val="002D189A"/>
    <w:rsid w:val="002D1C89"/>
    <w:rsid w:val="002D381C"/>
    <w:rsid w:val="002D4B6A"/>
    <w:rsid w:val="002D79B1"/>
    <w:rsid w:val="002D7D6D"/>
    <w:rsid w:val="002E2406"/>
    <w:rsid w:val="002E2FBF"/>
    <w:rsid w:val="002E3F64"/>
    <w:rsid w:val="002E50B1"/>
    <w:rsid w:val="002E5982"/>
    <w:rsid w:val="002E611C"/>
    <w:rsid w:val="002E61E1"/>
    <w:rsid w:val="002E634F"/>
    <w:rsid w:val="002F0B90"/>
    <w:rsid w:val="002F2A79"/>
    <w:rsid w:val="002F38F1"/>
    <w:rsid w:val="002F4672"/>
    <w:rsid w:val="002F469E"/>
    <w:rsid w:val="002F6DF2"/>
    <w:rsid w:val="00300C67"/>
    <w:rsid w:val="00301715"/>
    <w:rsid w:val="0030185F"/>
    <w:rsid w:val="00301AD3"/>
    <w:rsid w:val="00302991"/>
    <w:rsid w:val="00302CD6"/>
    <w:rsid w:val="00303096"/>
    <w:rsid w:val="00303BC8"/>
    <w:rsid w:val="003042E0"/>
    <w:rsid w:val="003046F0"/>
    <w:rsid w:val="00305FB1"/>
    <w:rsid w:val="00310301"/>
    <w:rsid w:val="003109BD"/>
    <w:rsid w:val="00311677"/>
    <w:rsid w:val="00313317"/>
    <w:rsid w:val="00313324"/>
    <w:rsid w:val="003140CA"/>
    <w:rsid w:val="0031607E"/>
    <w:rsid w:val="00317175"/>
    <w:rsid w:val="00321C67"/>
    <w:rsid w:val="00322E88"/>
    <w:rsid w:val="00323E9F"/>
    <w:rsid w:val="00325CC3"/>
    <w:rsid w:val="00326D21"/>
    <w:rsid w:val="00327A55"/>
    <w:rsid w:val="00330471"/>
    <w:rsid w:val="00332E1E"/>
    <w:rsid w:val="00333F4D"/>
    <w:rsid w:val="00336D2B"/>
    <w:rsid w:val="00340EFA"/>
    <w:rsid w:val="00341049"/>
    <w:rsid w:val="0034179E"/>
    <w:rsid w:val="00341C34"/>
    <w:rsid w:val="003429B7"/>
    <w:rsid w:val="00342B4D"/>
    <w:rsid w:val="00343919"/>
    <w:rsid w:val="00345F64"/>
    <w:rsid w:val="0034659A"/>
    <w:rsid w:val="003474B4"/>
    <w:rsid w:val="00347CC2"/>
    <w:rsid w:val="00350691"/>
    <w:rsid w:val="003526E6"/>
    <w:rsid w:val="00356B86"/>
    <w:rsid w:val="00361AC0"/>
    <w:rsid w:val="00364402"/>
    <w:rsid w:val="003647BB"/>
    <w:rsid w:val="003659DD"/>
    <w:rsid w:val="003672D5"/>
    <w:rsid w:val="00370BCD"/>
    <w:rsid w:val="0037199F"/>
    <w:rsid w:val="00371A4E"/>
    <w:rsid w:val="00371D3E"/>
    <w:rsid w:val="003720F0"/>
    <w:rsid w:val="00374478"/>
    <w:rsid w:val="0037580D"/>
    <w:rsid w:val="00375A37"/>
    <w:rsid w:val="00375A75"/>
    <w:rsid w:val="003845AE"/>
    <w:rsid w:val="003852F5"/>
    <w:rsid w:val="00387F33"/>
    <w:rsid w:val="00390DF0"/>
    <w:rsid w:val="003916FE"/>
    <w:rsid w:val="00391CF3"/>
    <w:rsid w:val="0039200E"/>
    <w:rsid w:val="003925D7"/>
    <w:rsid w:val="00393E4C"/>
    <w:rsid w:val="0039735B"/>
    <w:rsid w:val="003A22FD"/>
    <w:rsid w:val="003A2D4B"/>
    <w:rsid w:val="003A3B4D"/>
    <w:rsid w:val="003A4A15"/>
    <w:rsid w:val="003A4E3A"/>
    <w:rsid w:val="003A511E"/>
    <w:rsid w:val="003A5BF2"/>
    <w:rsid w:val="003A604D"/>
    <w:rsid w:val="003A65AA"/>
    <w:rsid w:val="003A69A8"/>
    <w:rsid w:val="003A71D9"/>
    <w:rsid w:val="003B07AD"/>
    <w:rsid w:val="003B12FC"/>
    <w:rsid w:val="003B2B99"/>
    <w:rsid w:val="003B2BAE"/>
    <w:rsid w:val="003B59D9"/>
    <w:rsid w:val="003C162E"/>
    <w:rsid w:val="003C2424"/>
    <w:rsid w:val="003C25DD"/>
    <w:rsid w:val="003C3FFC"/>
    <w:rsid w:val="003C71E2"/>
    <w:rsid w:val="003D0276"/>
    <w:rsid w:val="003D12A7"/>
    <w:rsid w:val="003D15B8"/>
    <w:rsid w:val="003D18FC"/>
    <w:rsid w:val="003D4610"/>
    <w:rsid w:val="003D5426"/>
    <w:rsid w:val="003D54AF"/>
    <w:rsid w:val="003D562F"/>
    <w:rsid w:val="003E0095"/>
    <w:rsid w:val="003E05FD"/>
    <w:rsid w:val="003E08A5"/>
    <w:rsid w:val="003E0FCD"/>
    <w:rsid w:val="003E11F7"/>
    <w:rsid w:val="003E155D"/>
    <w:rsid w:val="003E1A50"/>
    <w:rsid w:val="003E27EA"/>
    <w:rsid w:val="003E34D6"/>
    <w:rsid w:val="003E44C0"/>
    <w:rsid w:val="003E462F"/>
    <w:rsid w:val="003E5E67"/>
    <w:rsid w:val="003E6831"/>
    <w:rsid w:val="003E6A13"/>
    <w:rsid w:val="003F2354"/>
    <w:rsid w:val="003F2FD2"/>
    <w:rsid w:val="003F5163"/>
    <w:rsid w:val="00400C93"/>
    <w:rsid w:val="00401E64"/>
    <w:rsid w:val="00403266"/>
    <w:rsid w:val="00403716"/>
    <w:rsid w:val="00404799"/>
    <w:rsid w:val="004058DB"/>
    <w:rsid w:val="00405A89"/>
    <w:rsid w:val="00406230"/>
    <w:rsid w:val="00410B44"/>
    <w:rsid w:val="00414368"/>
    <w:rsid w:val="004145EF"/>
    <w:rsid w:val="00415338"/>
    <w:rsid w:val="00415C68"/>
    <w:rsid w:val="00416699"/>
    <w:rsid w:val="004169FF"/>
    <w:rsid w:val="00417C6A"/>
    <w:rsid w:val="004222E7"/>
    <w:rsid w:val="00423E47"/>
    <w:rsid w:val="00424688"/>
    <w:rsid w:val="004250AD"/>
    <w:rsid w:val="004252CD"/>
    <w:rsid w:val="0042588E"/>
    <w:rsid w:val="00425FAF"/>
    <w:rsid w:val="0042733A"/>
    <w:rsid w:val="004314C0"/>
    <w:rsid w:val="0043229B"/>
    <w:rsid w:val="0043265A"/>
    <w:rsid w:val="004327D4"/>
    <w:rsid w:val="004361D4"/>
    <w:rsid w:val="004365A0"/>
    <w:rsid w:val="00437317"/>
    <w:rsid w:val="004413B3"/>
    <w:rsid w:val="004429C7"/>
    <w:rsid w:val="004455D5"/>
    <w:rsid w:val="00450A2B"/>
    <w:rsid w:val="00453F80"/>
    <w:rsid w:val="00454AFA"/>
    <w:rsid w:val="00455690"/>
    <w:rsid w:val="00462B4A"/>
    <w:rsid w:val="00463B9B"/>
    <w:rsid w:val="00464C85"/>
    <w:rsid w:val="00464CB7"/>
    <w:rsid w:val="00467ACF"/>
    <w:rsid w:val="004721BF"/>
    <w:rsid w:val="00472318"/>
    <w:rsid w:val="004728F6"/>
    <w:rsid w:val="004758F2"/>
    <w:rsid w:val="00477C79"/>
    <w:rsid w:val="00480BBB"/>
    <w:rsid w:val="00482DFD"/>
    <w:rsid w:val="00487510"/>
    <w:rsid w:val="00487729"/>
    <w:rsid w:val="00493737"/>
    <w:rsid w:val="0049538B"/>
    <w:rsid w:val="004964F0"/>
    <w:rsid w:val="004969A8"/>
    <w:rsid w:val="004971D5"/>
    <w:rsid w:val="004A4BFF"/>
    <w:rsid w:val="004A58E5"/>
    <w:rsid w:val="004A7422"/>
    <w:rsid w:val="004B1C8C"/>
    <w:rsid w:val="004B21A5"/>
    <w:rsid w:val="004B57C8"/>
    <w:rsid w:val="004B5B35"/>
    <w:rsid w:val="004C0E6B"/>
    <w:rsid w:val="004C118B"/>
    <w:rsid w:val="004C1A53"/>
    <w:rsid w:val="004C3259"/>
    <w:rsid w:val="004C367E"/>
    <w:rsid w:val="004C512A"/>
    <w:rsid w:val="004C6E27"/>
    <w:rsid w:val="004D1ADE"/>
    <w:rsid w:val="004D2228"/>
    <w:rsid w:val="004D33E5"/>
    <w:rsid w:val="004D3A46"/>
    <w:rsid w:val="004D3B76"/>
    <w:rsid w:val="004D68BD"/>
    <w:rsid w:val="004E418C"/>
    <w:rsid w:val="004E531E"/>
    <w:rsid w:val="004E6370"/>
    <w:rsid w:val="004E78BE"/>
    <w:rsid w:val="004E7ECB"/>
    <w:rsid w:val="004F0192"/>
    <w:rsid w:val="004F0AA2"/>
    <w:rsid w:val="004F1CEE"/>
    <w:rsid w:val="004F3826"/>
    <w:rsid w:val="004F7ED8"/>
    <w:rsid w:val="005029B5"/>
    <w:rsid w:val="005053FA"/>
    <w:rsid w:val="00506FE6"/>
    <w:rsid w:val="005131E2"/>
    <w:rsid w:val="00513E79"/>
    <w:rsid w:val="0051499B"/>
    <w:rsid w:val="00521AFD"/>
    <w:rsid w:val="005244BF"/>
    <w:rsid w:val="00525CEE"/>
    <w:rsid w:val="00530545"/>
    <w:rsid w:val="00530B4D"/>
    <w:rsid w:val="00530CE0"/>
    <w:rsid w:val="00531C02"/>
    <w:rsid w:val="0053299B"/>
    <w:rsid w:val="00535FFB"/>
    <w:rsid w:val="00536436"/>
    <w:rsid w:val="00537AC0"/>
    <w:rsid w:val="00540043"/>
    <w:rsid w:val="005407E6"/>
    <w:rsid w:val="0054111B"/>
    <w:rsid w:val="00542A04"/>
    <w:rsid w:val="00542C38"/>
    <w:rsid w:val="005446CE"/>
    <w:rsid w:val="00551221"/>
    <w:rsid w:val="00551F73"/>
    <w:rsid w:val="00554962"/>
    <w:rsid w:val="005553E3"/>
    <w:rsid w:val="00557A77"/>
    <w:rsid w:val="005614A8"/>
    <w:rsid w:val="00561BA7"/>
    <w:rsid w:val="005620AC"/>
    <w:rsid w:val="00564375"/>
    <w:rsid w:val="0056532F"/>
    <w:rsid w:val="00565366"/>
    <w:rsid w:val="00565D36"/>
    <w:rsid w:val="00567388"/>
    <w:rsid w:val="00567AE1"/>
    <w:rsid w:val="00570282"/>
    <w:rsid w:val="00570893"/>
    <w:rsid w:val="0057093B"/>
    <w:rsid w:val="005726A2"/>
    <w:rsid w:val="0057285D"/>
    <w:rsid w:val="00572CD6"/>
    <w:rsid w:val="0057777A"/>
    <w:rsid w:val="0057796C"/>
    <w:rsid w:val="005800E8"/>
    <w:rsid w:val="00580524"/>
    <w:rsid w:val="00581511"/>
    <w:rsid w:val="00581E9F"/>
    <w:rsid w:val="005825C6"/>
    <w:rsid w:val="0058264C"/>
    <w:rsid w:val="00583136"/>
    <w:rsid w:val="005857B1"/>
    <w:rsid w:val="00586AB4"/>
    <w:rsid w:val="005870FC"/>
    <w:rsid w:val="0059043D"/>
    <w:rsid w:val="00594FBB"/>
    <w:rsid w:val="0059740E"/>
    <w:rsid w:val="005A1885"/>
    <w:rsid w:val="005A1F17"/>
    <w:rsid w:val="005A29E3"/>
    <w:rsid w:val="005A4439"/>
    <w:rsid w:val="005A5C3A"/>
    <w:rsid w:val="005A6145"/>
    <w:rsid w:val="005A6740"/>
    <w:rsid w:val="005B0B11"/>
    <w:rsid w:val="005B0D28"/>
    <w:rsid w:val="005B29DA"/>
    <w:rsid w:val="005B2A71"/>
    <w:rsid w:val="005B2C7D"/>
    <w:rsid w:val="005B58A4"/>
    <w:rsid w:val="005B5AEE"/>
    <w:rsid w:val="005B7309"/>
    <w:rsid w:val="005C1185"/>
    <w:rsid w:val="005C4B5D"/>
    <w:rsid w:val="005C509F"/>
    <w:rsid w:val="005D24A2"/>
    <w:rsid w:val="005D4511"/>
    <w:rsid w:val="005D53A6"/>
    <w:rsid w:val="005D5C0B"/>
    <w:rsid w:val="005D621C"/>
    <w:rsid w:val="005D693D"/>
    <w:rsid w:val="005D6FA7"/>
    <w:rsid w:val="005D7C8D"/>
    <w:rsid w:val="005D7E04"/>
    <w:rsid w:val="005E0CBC"/>
    <w:rsid w:val="005E2569"/>
    <w:rsid w:val="005E2E92"/>
    <w:rsid w:val="005E65A0"/>
    <w:rsid w:val="005E6865"/>
    <w:rsid w:val="005E6CDB"/>
    <w:rsid w:val="005F3B6F"/>
    <w:rsid w:val="005F4753"/>
    <w:rsid w:val="006009D4"/>
    <w:rsid w:val="0060540B"/>
    <w:rsid w:val="00605A76"/>
    <w:rsid w:val="0060696E"/>
    <w:rsid w:val="006079AD"/>
    <w:rsid w:val="00610158"/>
    <w:rsid w:val="00614131"/>
    <w:rsid w:val="00615545"/>
    <w:rsid w:val="00615802"/>
    <w:rsid w:val="006160AA"/>
    <w:rsid w:val="006168FD"/>
    <w:rsid w:val="0062010C"/>
    <w:rsid w:val="00620DA7"/>
    <w:rsid w:val="006212AB"/>
    <w:rsid w:val="00621659"/>
    <w:rsid w:val="0062320C"/>
    <w:rsid w:val="00623594"/>
    <w:rsid w:val="00624401"/>
    <w:rsid w:val="0062497C"/>
    <w:rsid w:val="00624FE7"/>
    <w:rsid w:val="0062527B"/>
    <w:rsid w:val="0062712A"/>
    <w:rsid w:val="00630DF6"/>
    <w:rsid w:val="0063166B"/>
    <w:rsid w:val="00631DEB"/>
    <w:rsid w:val="00632731"/>
    <w:rsid w:val="006327C3"/>
    <w:rsid w:val="006333A6"/>
    <w:rsid w:val="00634545"/>
    <w:rsid w:val="00634A3C"/>
    <w:rsid w:val="00635331"/>
    <w:rsid w:val="00635F24"/>
    <w:rsid w:val="0063757D"/>
    <w:rsid w:val="00637725"/>
    <w:rsid w:val="0064033C"/>
    <w:rsid w:val="00642B66"/>
    <w:rsid w:val="00642CA1"/>
    <w:rsid w:val="0064359E"/>
    <w:rsid w:val="0064371D"/>
    <w:rsid w:val="006437FF"/>
    <w:rsid w:val="00643B0E"/>
    <w:rsid w:val="00644AD9"/>
    <w:rsid w:val="00645264"/>
    <w:rsid w:val="006466EF"/>
    <w:rsid w:val="00653A57"/>
    <w:rsid w:val="006603B0"/>
    <w:rsid w:val="00662BFD"/>
    <w:rsid w:val="006651DE"/>
    <w:rsid w:val="006656EC"/>
    <w:rsid w:val="00666D2D"/>
    <w:rsid w:val="006704A6"/>
    <w:rsid w:val="006707F1"/>
    <w:rsid w:val="00670B6B"/>
    <w:rsid w:val="00671364"/>
    <w:rsid w:val="0067251C"/>
    <w:rsid w:val="00672675"/>
    <w:rsid w:val="00681129"/>
    <w:rsid w:val="0068133F"/>
    <w:rsid w:val="00681629"/>
    <w:rsid w:val="00682B28"/>
    <w:rsid w:val="00682C5E"/>
    <w:rsid w:val="006832DA"/>
    <w:rsid w:val="006840E6"/>
    <w:rsid w:val="006865F9"/>
    <w:rsid w:val="00686E98"/>
    <w:rsid w:val="0069187A"/>
    <w:rsid w:val="0069333B"/>
    <w:rsid w:val="0069428F"/>
    <w:rsid w:val="00694806"/>
    <w:rsid w:val="00696BA5"/>
    <w:rsid w:val="00697B73"/>
    <w:rsid w:val="006A05E7"/>
    <w:rsid w:val="006A0AE8"/>
    <w:rsid w:val="006A2DB8"/>
    <w:rsid w:val="006A3D9A"/>
    <w:rsid w:val="006A58BD"/>
    <w:rsid w:val="006B062D"/>
    <w:rsid w:val="006B196F"/>
    <w:rsid w:val="006B351D"/>
    <w:rsid w:val="006B49D5"/>
    <w:rsid w:val="006B4B54"/>
    <w:rsid w:val="006B5F55"/>
    <w:rsid w:val="006B6045"/>
    <w:rsid w:val="006B6F53"/>
    <w:rsid w:val="006B7988"/>
    <w:rsid w:val="006B7FE4"/>
    <w:rsid w:val="006C15B1"/>
    <w:rsid w:val="006C19FE"/>
    <w:rsid w:val="006C5EF0"/>
    <w:rsid w:val="006C5F24"/>
    <w:rsid w:val="006C717B"/>
    <w:rsid w:val="006D0084"/>
    <w:rsid w:val="006D09A3"/>
    <w:rsid w:val="006D15CB"/>
    <w:rsid w:val="006D1A26"/>
    <w:rsid w:val="006D2413"/>
    <w:rsid w:val="006D3B1F"/>
    <w:rsid w:val="006D460A"/>
    <w:rsid w:val="006D4943"/>
    <w:rsid w:val="006D7AAE"/>
    <w:rsid w:val="006D7EE1"/>
    <w:rsid w:val="006E036C"/>
    <w:rsid w:val="006E395D"/>
    <w:rsid w:val="006E3AC2"/>
    <w:rsid w:val="006E4498"/>
    <w:rsid w:val="006E5201"/>
    <w:rsid w:val="006E7ED9"/>
    <w:rsid w:val="006F0101"/>
    <w:rsid w:val="006F0162"/>
    <w:rsid w:val="006F04FF"/>
    <w:rsid w:val="006F1E8E"/>
    <w:rsid w:val="006F3B87"/>
    <w:rsid w:val="006F4422"/>
    <w:rsid w:val="006F46DF"/>
    <w:rsid w:val="006F70D7"/>
    <w:rsid w:val="006F7191"/>
    <w:rsid w:val="006F7DD9"/>
    <w:rsid w:val="00700BEC"/>
    <w:rsid w:val="00703301"/>
    <w:rsid w:val="0070348D"/>
    <w:rsid w:val="007042AC"/>
    <w:rsid w:val="00704DCF"/>
    <w:rsid w:val="0070503C"/>
    <w:rsid w:val="007057A9"/>
    <w:rsid w:val="00710357"/>
    <w:rsid w:val="00710C49"/>
    <w:rsid w:val="00710E2A"/>
    <w:rsid w:val="0071120D"/>
    <w:rsid w:val="00713F72"/>
    <w:rsid w:val="00720814"/>
    <w:rsid w:val="00723410"/>
    <w:rsid w:val="00723A9B"/>
    <w:rsid w:val="00723FC0"/>
    <w:rsid w:val="0072637F"/>
    <w:rsid w:val="00726485"/>
    <w:rsid w:val="00727FB7"/>
    <w:rsid w:val="007307BD"/>
    <w:rsid w:val="007322AA"/>
    <w:rsid w:val="0073335D"/>
    <w:rsid w:val="00734E1A"/>
    <w:rsid w:val="007355C7"/>
    <w:rsid w:val="007424B0"/>
    <w:rsid w:val="007435F4"/>
    <w:rsid w:val="007446A2"/>
    <w:rsid w:val="00746FF6"/>
    <w:rsid w:val="007479D5"/>
    <w:rsid w:val="00750BC0"/>
    <w:rsid w:val="00752519"/>
    <w:rsid w:val="007532C6"/>
    <w:rsid w:val="00753F91"/>
    <w:rsid w:val="007546CB"/>
    <w:rsid w:val="007568D4"/>
    <w:rsid w:val="007570DC"/>
    <w:rsid w:val="00760B0B"/>
    <w:rsid w:val="00762B04"/>
    <w:rsid w:val="0076419C"/>
    <w:rsid w:val="00764623"/>
    <w:rsid w:val="00764F04"/>
    <w:rsid w:val="007651C6"/>
    <w:rsid w:val="007661BC"/>
    <w:rsid w:val="00766A64"/>
    <w:rsid w:val="007672BA"/>
    <w:rsid w:val="00767889"/>
    <w:rsid w:val="007679EA"/>
    <w:rsid w:val="00767F99"/>
    <w:rsid w:val="007706A1"/>
    <w:rsid w:val="007707C9"/>
    <w:rsid w:val="00770E5E"/>
    <w:rsid w:val="00771365"/>
    <w:rsid w:val="007713C1"/>
    <w:rsid w:val="007718CE"/>
    <w:rsid w:val="00775121"/>
    <w:rsid w:val="00777063"/>
    <w:rsid w:val="00780979"/>
    <w:rsid w:val="00780E93"/>
    <w:rsid w:val="00787A7B"/>
    <w:rsid w:val="00790684"/>
    <w:rsid w:val="00791D30"/>
    <w:rsid w:val="007967F6"/>
    <w:rsid w:val="00796808"/>
    <w:rsid w:val="00797269"/>
    <w:rsid w:val="00797688"/>
    <w:rsid w:val="007976A1"/>
    <w:rsid w:val="007A2AFE"/>
    <w:rsid w:val="007A2EFB"/>
    <w:rsid w:val="007A3147"/>
    <w:rsid w:val="007A31E3"/>
    <w:rsid w:val="007A3864"/>
    <w:rsid w:val="007A4560"/>
    <w:rsid w:val="007A48B9"/>
    <w:rsid w:val="007A4CD2"/>
    <w:rsid w:val="007A52E8"/>
    <w:rsid w:val="007A59E3"/>
    <w:rsid w:val="007A6131"/>
    <w:rsid w:val="007A70DC"/>
    <w:rsid w:val="007A799F"/>
    <w:rsid w:val="007B1708"/>
    <w:rsid w:val="007B434D"/>
    <w:rsid w:val="007C1891"/>
    <w:rsid w:val="007C26D2"/>
    <w:rsid w:val="007C2DB2"/>
    <w:rsid w:val="007C352C"/>
    <w:rsid w:val="007C3A88"/>
    <w:rsid w:val="007C4703"/>
    <w:rsid w:val="007C4A0E"/>
    <w:rsid w:val="007C7F4A"/>
    <w:rsid w:val="007D06E9"/>
    <w:rsid w:val="007D0888"/>
    <w:rsid w:val="007D0B89"/>
    <w:rsid w:val="007D15AC"/>
    <w:rsid w:val="007D3237"/>
    <w:rsid w:val="007D3F46"/>
    <w:rsid w:val="007D736C"/>
    <w:rsid w:val="007D7E26"/>
    <w:rsid w:val="007E1F31"/>
    <w:rsid w:val="007E472F"/>
    <w:rsid w:val="007E4ACD"/>
    <w:rsid w:val="007E55A3"/>
    <w:rsid w:val="007E6C0B"/>
    <w:rsid w:val="007E6D06"/>
    <w:rsid w:val="007E74AF"/>
    <w:rsid w:val="007F02AD"/>
    <w:rsid w:val="007F0805"/>
    <w:rsid w:val="007F09C3"/>
    <w:rsid w:val="007F1F57"/>
    <w:rsid w:val="007F3510"/>
    <w:rsid w:val="007F4193"/>
    <w:rsid w:val="007F5391"/>
    <w:rsid w:val="007F5DBD"/>
    <w:rsid w:val="007F710B"/>
    <w:rsid w:val="00801AEC"/>
    <w:rsid w:val="00801E9A"/>
    <w:rsid w:val="008022C6"/>
    <w:rsid w:val="0080271E"/>
    <w:rsid w:val="00803231"/>
    <w:rsid w:val="008033D2"/>
    <w:rsid w:val="008045D8"/>
    <w:rsid w:val="0080484F"/>
    <w:rsid w:val="00805B27"/>
    <w:rsid w:val="008070CD"/>
    <w:rsid w:val="00807FAD"/>
    <w:rsid w:val="008102F2"/>
    <w:rsid w:val="008110F3"/>
    <w:rsid w:val="00813B21"/>
    <w:rsid w:val="00813EAD"/>
    <w:rsid w:val="00814D64"/>
    <w:rsid w:val="00815647"/>
    <w:rsid w:val="00815963"/>
    <w:rsid w:val="008160BE"/>
    <w:rsid w:val="00821B06"/>
    <w:rsid w:val="00821FB9"/>
    <w:rsid w:val="00822571"/>
    <w:rsid w:val="008237FE"/>
    <w:rsid w:val="00824234"/>
    <w:rsid w:val="00827510"/>
    <w:rsid w:val="00832B19"/>
    <w:rsid w:val="008345B9"/>
    <w:rsid w:val="00835891"/>
    <w:rsid w:val="00836DF8"/>
    <w:rsid w:val="00846559"/>
    <w:rsid w:val="00847873"/>
    <w:rsid w:val="00852135"/>
    <w:rsid w:val="00852FE2"/>
    <w:rsid w:val="0085396E"/>
    <w:rsid w:val="008541E8"/>
    <w:rsid w:val="008553E4"/>
    <w:rsid w:val="00855FFB"/>
    <w:rsid w:val="008564D8"/>
    <w:rsid w:val="00861095"/>
    <w:rsid w:val="008624B3"/>
    <w:rsid w:val="00872E07"/>
    <w:rsid w:val="00875D09"/>
    <w:rsid w:val="00877FA4"/>
    <w:rsid w:val="008837B3"/>
    <w:rsid w:val="00883825"/>
    <w:rsid w:val="00884F83"/>
    <w:rsid w:val="008861C2"/>
    <w:rsid w:val="00886D98"/>
    <w:rsid w:val="0089047B"/>
    <w:rsid w:val="00891211"/>
    <w:rsid w:val="008925C9"/>
    <w:rsid w:val="008945C5"/>
    <w:rsid w:val="008967CD"/>
    <w:rsid w:val="00897C30"/>
    <w:rsid w:val="008A057C"/>
    <w:rsid w:val="008A2A1F"/>
    <w:rsid w:val="008A637E"/>
    <w:rsid w:val="008B030A"/>
    <w:rsid w:val="008B0AA0"/>
    <w:rsid w:val="008B0E5E"/>
    <w:rsid w:val="008B1E26"/>
    <w:rsid w:val="008B38D8"/>
    <w:rsid w:val="008B4DFE"/>
    <w:rsid w:val="008C1816"/>
    <w:rsid w:val="008C1AF2"/>
    <w:rsid w:val="008C4217"/>
    <w:rsid w:val="008C4708"/>
    <w:rsid w:val="008C48D0"/>
    <w:rsid w:val="008C58CF"/>
    <w:rsid w:val="008C5CAD"/>
    <w:rsid w:val="008C662A"/>
    <w:rsid w:val="008D012D"/>
    <w:rsid w:val="008D0B65"/>
    <w:rsid w:val="008D0B82"/>
    <w:rsid w:val="008D3897"/>
    <w:rsid w:val="008D413D"/>
    <w:rsid w:val="008D4BA4"/>
    <w:rsid w:val="008D5432"/>
    <w:rsid w:val="008E0C5C"/>
    <w:rsid w:val="008E17ED"/>
    <w:rsid w:val="008E27C7"/>
    <w:rsid w:val="008E4E38"/>
    <w:rsid w:val="008E5ECF"/>
    <w:rsid w:val="008F1430"/>
    <w:rsid w:val="008F2E1D"/>
    <w:rsid w:val="008F47B0"/>
    <w:rsid w:val="008F724D"/>
    <w:rsid w:val="00901F98"/>
    <w:rsid w:val="0090366D"/>
    <w:rsid w:val="00904753"/>
    <w:rsid w:val="009052BF"/>
    <w:rsid w:val="009071CA"/>
    <w:rsid w:val="009076CF"/>
    <w:rsid w:val="00907985"/>
    <w:rsid w:val="009107C6"/>
    <w:rsid w:val="00910A8B"/>
    <w:rsid w:val="00911155"/>
    <w:rsid w:val="00912B98"/>
    <w:rsid w:val="009133E9"/>
    <w:rsid w:val="009141DC"/>
    <w:rsid w:val="0091525F"/>
    <w:rsid w:val="009160E8"/>
    <w:rsid w:val="00916B5A"/>
    <w:rsid w:val="00916BC8"/>
    <w:rsid w:val="00916FA2"/>
    <w:rsid w:val="00920D57"/>
    <w:rsid w:val="00921428"/>
    <w:rsid w:val="00922478"/>
    <w:rsid w:val="00922EE8"/>
    <w:rsid w:val="00923483"/>
    <w:rsid w:val="0092375C"/>
    <w:rsid w:val="0092378B"/>
    <w:rsid w:val="00925914"/>
    <w:rsid w:val="00925FBB"/>
    <w:rsid w:val="00933777"/>
    <w:rsid w:val="00933AA7"/>
    <w:rsid w:val="00933CBF"/>
    <w:rsid w:val="00933DAA"/>
    <w:rsid w:val="00936859"/>
    <w:rsid w:val="00940A44"/>
    <w:rsid w:val="0094128E"/>
    <w:rsid w:val="009418DC"/>
    <w:rsid w:val="00943B73"/>
    <w:rsid w:val="0094414F"/>
    <w:rsid w:val="00945943"/>
    <w:rsid w:val="0094756C"/>
    <w:rsid w:val="009479BB"/>
    <w:rsid w:val="00951F39"/>
    <w:rsid w:val="00953C5E"/>
    <w:rsid w:val="0095495D"/>
    <w:rsid w:val="00955E40"/>
    <w:rsid w:val="009567B0"/>
    <w:rsid w:val="009572BC"/>
    <w:rsid w:val="00960873"/>
    <w:rsid w:val="0096418E"/>
    <w:rsid w:val="00964761"/>
    <w:rsid w:val="009704A3"/>
    <w:rsid w:val="00972B95"/>
    <w:rsid w:val="0097380A"/>
    <w:rsid w:val="00975DDD"/>
    <w:rsid w:val="00980032"/>
    <w:rsid w:val="009803DD"/>
    <w:rsid w:val="009813A7"/>
    <w:rsid w:val="00982C42"/>
    <w:rsid w:val="00983774"/>
    <w:rsid w:val="00984B49"/>
    <w:rsid w:val="00985D21"/>
    <w:rsid w:val="0098788A"/>
    <w:rsid w:val="0099130F"/>
    <w:rsid w:val="00992AB9"/>
    <w:rsid w:val="00996003"/>
    <w:rsid w:val="0099657B"/>
    <w:rsid w:val="00997A6A"/>
    <w:rsid w:val="009A1A54"/>
    <w:rsid w:val="009A274C"/>
    <w:rsid w:val="009A2791"/>
    <w:rsid w:val="009A58DB"/>
    <w:rsid w:val="009A78FF"/>
    <w:rsid w:val="009B1A2D"/>
    <w:rsid w:val="009B27A5"/>
    <w:rsid w:val="009B2D65"/>
    <w:rsid w:val="009B4C55"/>
    <w:rsid w:val="009B4E4D"/>
    <w:rsid w:val="009B66A2"/>
    <w:rsid w:val="009B68F5"/>
    <w:rsid w:val="009B6B84"/>
    <w:rsid w:val="009B74E3"/>
    <w:rsid w:val="009C0B06"/>
    <w:rsid w:val="009C1264"/>
    <w:rsid w:val="009C1B3E"/>
    <w:rsid w:val="009C42B5"/>
    <w:rsid w:val="009C72DE"/>
    <w:rsid w:val="009C7318"/>
    <w:rsid w:val="009C783E"/>
    <w:rsid w:val="009D0408"/>
    <w:rsid w:val="009D0E29"/>
    <w:rsid w:val="009D2B32"/>
    <w:rsid w:val="009D3AAC"/>
    <w:rsid w:val="009D402A"/>
    <w:rsid w:val="009D561C"/>
    <w:rsid w:val="009D7FE7"/>
    <w:rsid w:val="009E0DF3"/>
    <w:rsid w:val="009E3F2F"/>
    <w:rsid w:val="009E5B12"/>
    <w:rsid w:val="009F05DA"/>
    <w:rsid w:val="009F1782"/>
    <w:rsid w:val="009F1FFC"/>
    <w:rsid w:val="009F2C53"/>
    <w:rsid w:val="009F2CB3"/>
    <w:rsid w:val="009F3A42"/>
    <w:rsid w:val="009F3EB3"/>
    <w:rsid w:val="009F5B74"/>
    <w:rsid w:val="009F6448"/>
    <w:rsid w:val="009F7528"/>
    <w:rsid w:val="009F7DDA"/>
    <w:rsid w:val="00A01169"/>
    <w:rsid w:val="00A0351F"/>
    <w:rsid w:val="00A03710"/>
    <w:rsid w:val="00A0414A"/>
    <w:rsid w:val="00A07681"/>
    <w:rsid w:val="00A113A8"/>
    <w:rsid w:val="00A11A19"/>
    <w:rsid w:val="00A11E8D"/>
    <w:rsid w:val="00A12169"/>
    <w:rsid w:val="00A129AF"/>
    <w:rsid w:val="00A140B0"/>
    <w:rsid w:val="00A143C7"/>
    <w:rsid w:val="00A20128"/>
    <w:rsid w:val="00A2038A"/>
    <w:rsid w:val="00A210FF"/>
    <w:rsid w:val="00A22226"/>
    <w:rsid w:val="00A226CA"/>
    <w:rsid w:val="00A22A5F"/>
    <w:rsid w:val="00A22E3E"/>
    <w:rsid w:val="00A22F75"/>
    <w:rsid w:val="00A2524B"/>
    <w:rsid w:val="00A25D93"/>
    <w:rsid w:val="00A26103"/>
    <w:rsid w:val="00A261D5"/>
    <w:rsid w:val="00A26277"/>
    <w:rsid w:val="00A27388"/>
    <w:rsid w:val="00A27FC5"/>
    <w:rsid w:val="00A301D2"/>
    <w:rsid w:val="00A3179E"/>
    <w:rsid w:val="00A35107"/>
    <w:rsid w:val="00A35B7F"/>
    <w:rsid w:val="00A3644C"/>
    <w:rsid w:val="00A36B83"/>
    <w:rsid w:val="00A37C11"/>
    <w:rsid w:val="00A405AB"/>
    <w:rsid w:val="00A416EF"/>
    <w:rsid w:val="00A4216B"/>
    <w:rsid w:val="00A44A0C"/>
    <w:rsid w:val="00A47DDB"/>
    <w:rsid w:val="00A54AB8"/>
    <w:rsid w:val="00A5697E"/>
    <w:rsid w:val="00A56C27"/>
    <w:rsid w:val="00A60911"/>
    <w:rsid w:val="00A61EEB"/>
    <w:rsid w:val="00A63779"/>
    <w:rsid w:val="00A63BBF"/>
    <w:rsid w:val="00A640DE"/>
    <w:rsid w:val="00A65E90"/>
    <w:rsid w:val="00A675F7"/>
    <w:rsid w:val="00A70FC4"/>
    <w:rsid w:val="00A720CE"/>
    <w:rsid w:val="00A75A73"/>
    <w:rsid w:val="00A8035D"/>
    <w:rsid w:val="00A809D2"/>
    <w:rsid w:val="00A8610F"/>
    <w:rsid w:val="00A8656C"/>
    <w:rsid w:val="00A86A4C"/>
    <w:rsid w:val="00A911D0"/>
    <w:rsid w:val="00A96E83"/>
    <w:rsid w:val="00AA090D"/>
    <w:rsid w:val="00AA1D2F"/>
    <w:rsid w:val="00AA3918"/>
    <w:rsid w:val="00AA48F3"/>
    <w:rsid w:val="00AA5D12"/>
    <w:rsid w:val="00AA6503"/>
    <w:rsid w:val="00AA7B74"/>
    <w:rsid w:val="00AB07DC"/>
    <w:rsid w:val="00AB1C22"/>
    <w:rsid w:val="00AB2EDE"/>
    <w:rsid w:val="00AB421A"/>
    <w:rsid w:val="00AB46F1"/>
    <w:rsid w:val="00AC2688"/>
    <w:rsid w:val="00AC46F3"/>
    <w:rsid w:val="00AC4AD1"/>
    <w:rsid w:val="00AC608A"/>
    <w:rsid w:val="00AC7D4E"/>
    <w:rsid w:val="00AC7ED2"/>
    <w:rsid w:val="00AD0A11"/>
    <w:rsid w:val="00AD1338"/>
    <w:rsid w:val="00AD345C"/>
    <w:rsid w:val="00AD6890"/>
    <w:rsid w:val="00AD7846"/>
    <w:rsid w:val="00AE35FA"/>
    <w:rsid w:val="00AE38A3"/>
    <w:rsid w:val="00AE38D3"/>
    <w:rsid w:val="00AE3F66"/>
    <w:rsid w:val="00AF1379"/>
    <w:rsid w:val="00AF3F0E"/>
    <w:rsid w:val="00AF470D"/>
    <w:rsid w:val="00AF4A0E"/>
    <w:rsid w:val="00AF4CA6"/>
    <w:rsid w:val="00AF541D"/>
    <w:rsid w:val="00AF54A0"/>
    <w:rsid w:val="00AF62B4"/>
    <w:rsid w:val="00B01D30"/>
    <w:rsid w:val="00B03406"/>
    <w:rsid w:val="00B04FE4"/>
    <w:rsid w:val="00B05C3B"/>
    <w:rsid w:val="00B05F26"/>
    <w:rsid w:val="00B07456"/>
    <w:rsid w:val="00B1151A"/>
    <w:rsid w:val="00B1228C"/>
    <w:rsid w:val="00B14794"/>
    <w:rsid w:val="00B14904"/>
    <w:rsid w:val="00B14BFF"/>
    <w:rsid w:val="00B16888"/>
    <w:rsid w:val="00B174FC"/>
    <w:rsid w:val="00B17E7B"/>
    <w:rsid w:val="00B20914"/>
    <w:rsid w:val="00B211E7"/>
    <w:rsid w:val="00B23C65"/>
    <w:rsid w:val="00B24C31"/>
    <w:rsid w:val="00B25E71"/>
    <w:rsid w:val="00B2671D"/>
    <w:rsid w:val="00B3192D"/>
    <w:rsid w:val="00B31F65"/>
    <w:rsid w:val="00B320CD"/>
    <w:rsid w:val="00B321D9"/>
    <w:rsid w:val="00B33DA6"/>
    <w:rsid w:val="00B409B0"/>
    <w:rsid w:val="00B42276"/>
    <w:rsid w:val="00B50719"/>
    <w:rsid w:val="00B5213B"/>
    <w:rsid w:val="00B52D21"/>
    <w:rsid w:val="00B5313B"/>
    <w:rsid w:val="00B633AF"/>
    <w:rsid w:val="00B64A38"/>
    <w:rsid w:val="00B711CE"/>
    <w:rsid w:val="00B71A31"/>
    <w:rsid w:val="00B7240D"/>
    <w:rsid w:val="00B72559"/>
    <w:rsid w:val="00B72B9B"/>
    <w:rsid w:val="00B7311E"/>
    <w:rsid w:val="00B73553"/>
    <w:rsid w:val="00B73B3B"/>
    <w:rsid w:val="00B75AF6"/>
    <w:rsid w:val="00B768DA"/>
    <w:rsid w:val="00B80FCA"/>
    <w:rsid w:val="00B810A0"/>
    <w:rsid w:val="00B81848"/>
    <w:rsid w:val="00B81FA8"/>
    <w:rsid w:val="00B83112"/>
    <w:rsid w:val="00B84C47"/>
    <w:rsid w:val="00B85DDC"/>
    <w:rsid w:val="00B86174"/>
    <w:rsid w:val="00B87EC3"/>
    <w:rsid w:val="00B93997"/>
    <w:rsid w:val="00B94892"/>
    <w:rsid w:val="00B9581C"/>
    <w:rsid w:val="00B95D05"/>
    <w:rsid w:val="00B97951"/>
    <w:rsid w:val="00BA0A9F"/>
    <w:rsid w:val="00BA110D"/>
    <w:rsid w:val="00BA2E00"/>
    <w:rsid w:val="00BA7009"/>
    <w:rsid w:val="00BB1E73"/>
    <w:rsid w:val="00BB3FEF"/>
    <w:rsid w:val="00BB4212"/>
    <w:rsid w:val="00BB55A6"/>
    <w:rsid w:val="00BB6745"/>
    <w:rsid w:val="00BB6CD6"/>
    <w:rsid w:val="00BC2086"/>
    <w:rsid w:val="00BC4922"/>
    <w:rsid w:val="00BC4B41"/>
    <w:rsid w:val="00BC5595"/>
    <w:rsid w:val="00BC6186"/>
    <w:rsid w:val="00BC7576"/>
    <w:rsid w:val="00BD1C97"/>
    <w:rsid w:val="00BD32E5"/>
    <w:rsid w:val="00BD699C"/>
    <w:rsid w:val="00BE2E9A"/>
    <w:rsid w:val="00BE3101"/>
    <w:rsid w:val="00BE3E67"/>
    <w:rsid w:val="00BE4DE7"/>
    <w:rsid w:val="00BE7373"/>
    <w:rsid w:val="00BF0C79"/>
    <w:rsid w:val="00BF110A"/>
    <w:rsid w:val="00BF14B1"/>
    <w:rsid w:val="00BF2C64"/>
    <w:rsid w:val="00BF3056"/>
    <w:rsid w:val="00BF42AB"/>
    <w:rsid w:val="00BF4ED9"/>
    <w:rsid w:val="00BF50B1"/>
    <w:rsid w:val="00BF5B02"/>
    <w:rsid w:val="00BF6B2D"/>
    <w:rsid w:val="00BF71EB"/>
    <w:rsid w:val="00BF7486"/>
    <w:rsid w:val="00BF7B77"/>
    <w:rsid w:val="00C0192E"/>
    <w:rsid w:val="00C01D5D"/>
    <w:rsid w:val="00C05492"/>
    <w:rsid w:val="00C06388"/>
    <w:rsid w:val="00C07837"/>
    <w:rsid w:val="00C0788D"/>
    <w:rsid w:val="00C07D82"/>
    <w:rsid w:val="00C07E91"/>
    <w:rsid w:val="00C104AA"/>
    <w:rsid w:val="00C10DFF"/>
    <w:rsid w:val="00C13650"/>
    <w:rsid w:val="00C15260"/>
    <w:rsid w:val="00C17396"/>
    <w:rsid w:val="00C17CCF"/>
    <w:rsid w:val="00C25411"/>
    <w:rsid w:val="00C30098"/>
    <w:rsid w:val="00C300D4"/>
    <w:rsid w:val="00C306F7"/>
    <w:rsid w:val="00C313B3"/>
    <w:rsid w:val="00C322C7"/>
    <w:rsid w:val="00C3274D"/>
    <w:rsid w:val="00C32BBF"/>
    <w:rsid w:val="00C338A6"/>
    <w:rsid w:val="00C34F18"/>
    <w:rsid w:val="00C3511D"/>
    <w:rsid w:val="00C35BE7"/>
    <w:rsid w:val="00C41316"/>
    <w:rsid w:val="00C42AAD"/>
    <w:rsid w:val="00C43362"/>
    <w:rsid w:val="00C439E4"/>
    <w:rsid w:val="00C43A47"/>
    <w:rsid w:val="00C453E2"/>
    <w:rsid w:val="00C4581D"/>
    <w:rsid w:val="00C46C76"/>
    <w:rsid w:val="00C46F75"/>
    <w:rsid w:val="00C47745"/>
    <w:rsid w:val="00C5039D"/>
    <w:rsid w:val="00C51F35"/>
    <w:rsid w:val="00C532E2"/>
    <w:rsid w:val="00C5653D"/>
    <w:rsid w:val="00C57CC3"/>
    <w:rsid w:val="00C60A5D"/>
    <w:rsid w:val="00C60EF3"/>
    <w:rsid w:val="00C6342A"/>
    <w:rsid w:val="00C6489D"/>
    <w:rsid w:val="00C64ECC"/>
    <w:rsid w:val="00C65059"/>
    <w:rsid w:val="00C673CA"/>
    <w:rsid w:val="00C7270B"/>
    <w:rsid w:val="00C73EB8"/>
    <w:rsid w:val="00C740DB"/>
    <w:rsid w:val="00C77469"/>
    <w:rsid w:val="00C77A9F"/>
    <w:rsid w:val="00C8067E"/>
    <w:rsid w:val="00C81739"/>
    <w:rsid w:val="00C821A7"/>
    <w:rsid w:val="00C83120"/>
    <w:rsid w:val="00C834EB"/>
    <w:rsid w:val="00C871C6"/>
    <w:rsid w:val="00C87992"/>
    <w:rsid w:val="00C90A04"/>
    <w:rsid w:val="00C91138"/>
    <w:rsid w:val="00C915A2"/>
    <w:rsid w:val="00C92753"/>
    <w:rsid w:val="00C939E9"/>
    <w:rsid w:val="00C943E6"/>
    <w:rsid w:val="00C94ADE"/>
    <w:rsid w:val="00C94BF8"/>
    <w:rsid w:val="00C951A3"/>
    <w:rsid w:val="00C96F95"/>
    <w:rsid w:val="00C9771A"/>
    <w:rsid w:val="00CA1481"/>
    <w:rsid w:val="00CA1E99"/>
    <w:rsid w:val="00CA3C07"/>
    <w:rsid w:val="00CA7328"/>
    <w:rsid w:val="00CA7555"/>
    <w:rsid w:val="00CB14EE"/>
    <w:rsid w:val="00CB37B8"/>
    <w:rsid w:val="00CB5CD1"/>
    <w:rsid w:val="00CB6263"/>
    <w:rsid w:val="00CB66DE"/>
    <w:rsid w:val="00CC0AE5"/>
    <w:rsid w:val="00CC0D4F"/>
    <w:rsid w:val="00CC2BE2"/>
    <w:rsid w:val="00CC535F"/>
    <w:rsid w:val="00CD10D6"/>
    <w:rsid w:val="00CD1494"/>
    <w:rsid w:val="00CD1E69"/>
    <w:rsid w:val="00CD4ED9"/>
    <w:rsid w:val="00CD534E"/>
    <w:rsid w:val="00CD6233"/>
    <w:rsid w:val="00CD66EF"/>
    <w:rsid w:val="00CE0058"/>
    <w:rsid w:val="00CE09F7"/>
    <w:rsid w:val="00CE2C5B"/>
    <w:rsid w:val="00CE56B9"/>
    <w:rsid w:val="00CF1885"/>
    <w:rsid w:val="00CF28C3"/>
    <w:rsid w:val="00CF5748"/>
    <w:rsid w:val="00CF7BC0"/>
    <w:rsid w:val="00D00F5E"/>
    <w:rsid w:val="00D01EC3"/>
    <w:rsid w:val="00D026DE"/>
    <w:rsid w:val="00D03B01"/>
    <w:rsid w:val="00D06335"/>
    <w:rsid w:val="00D07892"/>
    <w:rsid w:val="00D1258D"/>
    <w:rsid w:val="00D12F75"/>
    <w:rsid w:val="00D1303C"/>
    <w:rsid w:val="00D13CC9"/>
    <w:rsid w:val="00D14E90"/>
    <w:rsid w:val="00D15AF9"/>
    <w:rsid w:val="00D16422"/>
    <w:rsid w:val="00D16DA9"/>
    <w:rsid w:val="00D1739B"/>
    <w:rsid w:val="00D20939"/>
    <w:rsid w:val="00D2100D"/>
    <w:rsid w:val="00D21693"/>
    <w:rsid w:val="00D216BB"/>
    <w:rsid w:val="00D217A4"/>
    <w:rsid w:val="00D21CA3"/>
    <w:rsid w:val="00D23417"/>
    <w:rsid w:val="00D24045"/>
    <w:rsid w:val="00D24E27"/>
    <w:rsid w:val="00D30084"/>
    <w:rsid w:val="00D30AC1"/>
    <w:rsid w:val="00D30B2A"/>
    <w:rsid w:val="00D315AB"/>
    <w:rsid w:val="00D32AED"/>
    <w:rsid w:val="00D36E90"/>
    <w:rsid w:val="00D376A5"/>
    <w:rsid w:val="00D41053"/>
    <w:rsid w:val="00D44943"/>
    <w:rsid w:val="00D45305"/>
    <w:rsid w:val="00D462DB"/>
    <w:rsid w:val="00D467D3"/>
    <w:rsid w:val="00D5126F"/>
    <w:rsid w:val="00D55404"/>
    <w:rsid w:val="00D5601D"/>
    <w:rsid w:val="00D61AB6"/>
    <w:rsid w:val="00D6201F"/>
    <w:rsid w:val="00D646DA"/>
    <w:rsid w:val="00D67E90"/>
    <w:rsid w:val="00D70972"/>
    <w:rsid w:val="00D74BA9"/>
    <w:rsid w:val="00D74CD7"/>
    <w:rsid w:val="00D7641C"/>
    <w:rsid w:val="00D82228"/>
    <w:rsid w:val="00D827FC"/>
    <w:rsid w:val="00D83A1E"/>
    <w:rsid w:val="00D8611F"/>
    <w:rsid w:val="00D86D52"/>
    <w:rsid w:val="00D9073A"/>
    <w:rsid w:val="00D91A0F"/>
    <w:rsid w:val="00D93C86"/>
    <w:rsid w:val="00D94155"/>
    <w:rsid w:val="00D94E3A"/>
    <w:rsid w:val="00D976C4"/>
    <w:rsid w:val="00DA0E1C"/>
    <w:rsid w:val="00DA668B"/>
    <w:rsid w:val="00DB04D5"/>
    <w:rsid w:val="00DB201F"/>
    <w:rsid w:val="00DB3BB1"/>
    <w:rsid w:val="00DB5E33"/>
    <w:rsid w:val="00DB6B2A"/>
    <w:rsid w:val="00DB74A8"/>
    <w:rsid w:val="00DB7B93"/>
    <w:rsid w:val="00DC010D"/>
    <w:rsid w:val="00DC09F9"/>
    <w:rsid w:val="00DC1CAE"/>
    <w:rsid w:val="00DC2346"/>
    <w:rsid w:val="00DC5750"/>
    <w:rsid w:val="00DC7045"/>
    <w:rsid w:val="00DD0493"/>
    <w:rsid w:val="00DD24F3"/>
    <w:rsid w:val="00DD2517"/>
    <w:rsid w:val="00DD3143"/>
    <w:rsid w:val="00DD4532"/>
    <w:rsid w:val="00DE308D"/>
    <w:rsid w:val="00DE4320"/>
    <w:rsid w:val="00DF23EE"/>
    <w:rsid w:val="00DF31F6"/>
    <w:rsid w:val="00DF343E"/>
    <w:rsid w:val="00E00088"/>
    <w:rsid w:val="00E04D8A"/>
    <w:rsid w:val="00E056CD"/>
    <w:rsid w:val="00E05816"/>
    <w:rsid w:val="00E05F45"/>
    <w:rsid w:val="00E0742E"/>
    <w:rsid w:val="00E07936"/>
    <w:rsid w:val="00E110AF"/>
    <w:rsid w:val="00E13EA4"/>
    <w:rsid w:val="00E1430B"/>
    <w:rsid w:val="00E14D2E"/>
    <w:rsid w:val="00E16802"/>
    <w:rsid w:val="00E16B51"/>
    <w:rsid w:val="00E177BB"/>
    <w:rsid w:val="00E23EB4"/>
    <w:rsid w:val="00E24B60"/>
    <w:rsid w:val="00E31328"/>
    <w:rsid w:val="00E32A3A"/>
    <w:rsid w:val="00E33002"/>
    <w:rsid w:val="00E350F8"/>
    <w:rsid w:val="00E3557D"/>
    <w:rsid w:val="00E36247"/>
    <w:rsid w:val="00E36704"/>
    <w:rsid w:val="00E372F2"/>
    <w:rsid w:val="00E378B5"/>
    <w:rsid w:val="00E379E0"/>
    <w:rsid w:val="00E408A8"/>
    <w:rsid w:val="00E428FB"/>
    <w:rsid w:val="00E435B6"/>
    <w:rsid w:val="00E439C4"/>
    <w:rsid w:val="00E44C80"/>
    <w:rsid w:val="00E46B53"/>
    <w:rsid w:val="00E5000B"/>
    <w:rsid w:val="00E5062F"/>
    <w:rsid w:val="00E507FA"/>
    <w:rsid w:val="00E50B69"/>
    <w:rsid w:val="00E54FD9"/>
    <w:rsid w:val="00E56CB8"/>
    <w:rsid w:val="00E64108"/>
    <w:rsid w:val="00E66F3D"/>
    <w:rsid w:val="00E704E1"/>
    <w:rsid w:val="00E70E86"/>
    <w:rsid w:val="00E71F8F"/>
    <w:rsid w:val="00E72858"/>
    <w:rsid w:val="00E75277"/>
    <w:rsid w:val="00E7530C"/>
    <w:rsid w:val="00E75340"/>
    <w:rsid w:val="00E77867"/>
    <w:rsid w:val="00E8049B"/>
    <w:rsid w:val="00E8718F"/>
    <w:rsid w:val="00E87866"/>
    <w:rsid w:val="00E87F36"/>
    <w:rsid w:val="00E91A81"/>
    <w:rsid w:val="00E959DC"/>
    <w:rsid w:val="00E96406"/>
    <w:rsid w:val="00E9656D"/>
    <w:rsid w:val="00E965EF"/>
    <w:rsid w:val="00EA020D"/>
    <w:rsid w:val="00EA11C9"/>
    <w:rsid w:val="00EA1852"/>
    <w:rsid w:val="00EA1FD6"/>
    <w:rsid w:val="00EA32E9"/>
    <w:rsid w:val="00EA3F19"/>
    <w:rsid w:val="00EA66BF"/>
    <w:rsid w:val="00EB051D"/>
    <w:rsid w:val="00EB07E5"/>
    <w:rsid w:val="00EB2E0D"/>
    <w:rsid w:val="00EB3057"/>
    <w:rsid w:val="00EB3490"/>
    <w:rsid w:val="00EB490D"/>
    <w:rsid w:val="00EB7432"/>
    <w:rsid w:val="00EB7683"/>
    <w:rsid w:val="00EC1E97"/>
    <w:rsid w:val="00EC2054"/>
    <w:rsid w:val="00EC2EFC"/>
    <w:rsid w:val="00EC5792"/>
    <w:rsid w:val="00EC63CE"/>
    <w:rsid w:val="00EC67B1"/>
    <w:rsid w:val="00ED07FD"/>
    <w:rsid w:val="00ED1D33"/>
    <w:rsid w:val="00ED36D5"/>
    <w:rsid w:val="00ED36DA"/>
    <w:rsid w:val="00ED39DF"/>
    <w:rsid w:val="00ED404E"/>
    <w:rsid w:val="00ED52D4"/>
    <w:rsid w:val="00ED7E69"/>
    <w:rsid w:val="00EE0A69"/>
    <w:rsid w:val="00EE0BAF"/>
    <w:rsid w:val="00EE17AF"/>
    <w:rsid w:val="00EE474B"/>
    <w:rsid w:val="00EE551C"/>
    <w:rsid w:val="00EE5933"/>
    <w:rsid w:val="00EE69D9"/>
    <w:rsid w:val="00EE6F8A"/>
    <w:rsid w:val="00EF17B5"/>
    <w:rsid w:val="00EF20B1"/>
    <w:rsid w:val="00EF25FE"/>
    <w:rsid w:val="00EF2792"/>
    <w:rsid w:val="00EF4EB1"/>
    <w:rsid w:val="00F02E63"/>
    <w:rsid w:val="00F03411"/>
    <w:rsid w:val="00F03B98"/>
    <w:rsid w:val="00F059A2"/>
    <w:rsid w:val="00F064B3"/>
    <w:rsid w:val="00F06E97"/>
    <w:rsid w:val="00F11D79"/>
    <w:rsid w:val="00F12982"/>
    <w:rsid w:val="00F12C12"/>
    <w:rsid w:val="00F12E28"/>
    <w:rsid w:val="00F136F6"/>
    <w:rsid w:val="00F15C74"/>
    <w:rsid w:val="00F15E52"/>
    <w:rsid w:val="00F17D0B"/>
    <w:rsid w:val="00F21DA5"/>
    <w:rsid w:val="00F228BC"/>
    <w:rsid w:val="00F244A2"/>
    <w:rsid w:val="00F24A61"/>
    <w:rsid w:val="00F2555C"/>
    <w:rsid w:val="00F267B3"/>
    <w:rsid w:val="00F26975"/>
    <w:rsid w:val="00F276A1"/>
    <w:rsid w:val="00F318B1"/>
    <w:rsid w:val="00F33E11"/>
    <w:rsid w:val="00F340FB"/>
    <w:rsid w:val="00F34187"/>
    <w:rsid w:val="00F349D2"/>
    <w:rsid w:val="00F34D53"/>
    <w:rsid w:val="00F366E3"/>
    <w:rsid w:val="00F3746C"/>
    <w:rsid w:val="00F40BD2"/>
    <w:rsid w:val="00F4154D"/>
    <w:rsid w:val="00F45A72"/>
    <w:rsid w:val="00F45E27"/>
    <w:rsid w:val="00F46069"/>
    <w:rsid w:val="00F47F64"/>
    <w:rsid w:val="00F51EE1"/>
    <w:rsid w:val="00F52101"/>
    <w:rsid w:val="00F5477E"/>
    <w:rsid w:val="00F54DC6"/>
    <w:rsid w:val="00F60357"/>
    <w:rsid w:val="00F61E38"/>
    <w:rsid w:val="00F63260"/>
    <w:rsid w:val="00F6346D"/>
    <w:rsid w:val="00F67A72"/>
    <w:rsid w:val="00F67E46"/>
    <w:rsid w:val="00F71D42"/>
    <w:rsid w:val="00F71D89"/>
    <w:rsid w:val="00F74CEC"/>
    <w:rsid w:val="00F757D2"/>
    <w:rsid w:val="00F759D6"/>
    <w:rsid w:val="00F7626C"/>
    <w:rsid w:val="00F8068F"/>
    <w:rsid w:val="00F80D4F"/>
    <w:rsid w:val="00F80E2E"/>
    <w:rsid w:val="00F814C3"/>
    <w:rsid w:val="00F8261E"/>
    <w:rsid w:val="00F83108"/>
    <w:rsid w:val="00F85686"/>
    <w:rsid w:val="00F86BA8"/>
    <w:rsid w:val="00F87885"/>
    <w:rsid w:val="00F90FCF"/>
    <w:rsid w:val="00F926DE"/>
    <w:rsid w:val="00F95ECE"/>
    <w:rsid w:val="00F961B0"/>
    <w:rsid w:val="00F9633C"/>
    <w:rsid w:val="00F97A0E"/>
    <w:rsid w:val="00F97B0A"/>
    <w:rsid w:val="00F97F4B"/>
    <w:rsid w:val="00FA16C4"/>
    <w:rsid w:val="00FA4BEE"/>
    <w:rsid w:val="00FA5441"/>
    <w:rsid w:val="00FA5DC6"/>
    <w:rsid w:val="00FB1036"/>
    <w:rsid w:val="00FB17AE"/>
    <w:rsid w:val="00FB32F5"/>
    <w:rsid w:val="00FB40B2"/>
    <w:rsid w:val="00FB4149"/>
    <w:rsid w:val="00FC0697"/>
    <w:rsid w:val="00FC1274"/>
    <w:rsid w:val="00FC1547"/>
    <w:rsid w:val="00FC5310"/>
    <w:rsid w:val="00FC6662"/>
    <w:rsid w:val="00FD06DC"/>
    <w:rsid w:val="00FD12C8"/>
    <w:rsid w:val="00FD1A26"/>
    <w:rsid w:val="00FD36C3"/>
    <w:rsid w:val="00FD41E8"/>
    <w:rsid w:val="00FD4DFA"/>
    <w:rsid w:val="00FD4FFB"/>
    <w:rsid w:val="00FD58B8"/>
    <w:rsid w:val="00FD78FC"/>
    <w:rsid w:val="00FE13AD"/>
    <w:rsid w:val="00FE1549"/>
    <w:rsid w:val="00FE1C12"/>
    <w:rsid w:val="00FE396B"/>
    <w:rsid w:val="00FE7041"/>
    <w:rsid w:val="00FE7BD2"/>
    <w:rsid w:val="00FF0B7C"/>
    <w:rsid w:val="00FF0B9A"/>
    <w:rsid w:val="00FF1F89"/>
    <w:rsid w:val="00FF2123"/>
    <w:rsid w:val="00FF2C83"/>
    <w:rsid w:val="00FF3708"/>
    <w:rsid w:val="00FF46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C1CA"/>
  <w15:docId w15:val="{005FD79A-56E5-4F01-B9F8-003BEA3F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4B"/>
    <w:pPr>
      <w:spacing w:after="160" w:line="259" w:lineRule="auto"/>
    </w:pPr>
    <w:rPr>
      <w:sz w:val="22"/>
      <w:szCs w:val="22"/>
      <w:lang w:eastAsia="en-US"/>
    </w:rPr>
  </w:style>
  <w:style w:type="paragraph" w:styleId="Heading1">
    <w:name w:val="heading 1"/>
    <w:basedOn w:val="ListParagraph"/>
    <w:next w:val="Normal"/>
    <w:link w:val="Heading1Char"/>
    <w:uiPriority w:val="9"/>
    <w:qFormat/>
    <w:rsid w:val="007570DC"/>
    <w:pPr>
      <w:spacing w:before="120" w:after="120" w:line="240" w:lineRule="auto"/>
      <w:ind w:left="0"/>
      <w:contextualSpacing w:val="0"/>
      <w:jc w:val="both"/>
      <w:outlineLvl w:val="0"/>
    </w:pPr>
    <w:rPr>
      <w:rFonts w:ascii="Times New Roman" w:hAnsi="Times New Roman"/>
      <w:b/>
      <w:color w:val="0070C0"/>
      <w:sz w:val="26"/>
      <w:szCs w:val="26"/>
      <w:lang w:val="x-none" w:eastAsia="x-none"/>
    </w:rPr>
  </w:style>
  <w:style w:type="paragraph" w:styleId="Heading2">
    <w:name w:val="heading 2"/>
    <w:basedOn w:val="ListParagraph"/>
    <w:next w:val="Normal"/>
    <w:link w:val="Heading2Char"/>
    <w:qFormat/>
    <w:rsid w:val="007570DC"/>
    <w:pPr>
      <w:spacing w:before="120" w:after="120" w:line="240" w:lineRule="auto"/>
      <w:ind w:left="0"/>
      <w:contextualSpacing w:val="0"/>
      <w:jc w:val="both"/>
      <w:outlineLvl w:val="1"/>
    </w:pPr>
    <w:rPr>
      <w:rFonts w:ascii="Times New Roman" w:hAnsi="Times New Roman"/>
      <w:b/>
      <w:color w:val="0070C0"/>
      <w:sz w:val="24"/>
      <w:szCs w:val="24"/>
      <w:lang w:val="x-none" w:eastAsia="x-none"/>
    </w:rPr>
  </w:style>
  <w:style w:type="paragraph" w:styleId="Heading3">
    <w:name w:val="heading 3"/>
    <w:basedOn w:val="Normal"/>
    <w:next w:val="Normal"/>
    <w:link w:val="Heading3Char"/>
    <w:uiPriority w:val="9"/>
    <w:qFormat/>
    <w:rsid w:val="00C83120"/>
    <w:pPr>
      <w:keepNext/>
      <w:keepLines/>
      <w:spacing w:before="200" w:after="0"/>
      <w:outlineLvl w:val="2"/>
    </w:pPr>
    <w:rPr>
      <w:rFonts w:ascii="Calibri Light" w:eastAsia="Times New Roman" w:hAnsi="Calibri Light"/>
      <w:b/>
      <w:bCs/>
      <w:color w:val="5B9BD5"/>
      <w:sz w:val="20"/>
      <w:szCs w:val="20"/>
      <w:lang w:val="x-none" w:eastAsia="x-none"/>
    </w:rPr>
  </w:style>
  <w:style w:type="paragraph" w:styleId="Heading6">
    <w:name w:val="heading 6"/>
    <w:basedOn w:val="Normal"/>
    <w:next w:val="Normal"/>
    <w:link w:val="Heading6Char"/>
    <w:uiPriority w:val="9"/>
    <w:qFormat/>
    <w:rsid w:val="00635331"/>
    <w:pPr>
      <w:keepNext/>
      <w:keepLines/>
      <w:spacing w:before="200" w:after="0"/>
      <w:outlineLvl w:val="5"/>
    </w:pPr>
    <w:rPr>
      <w:rFonts w:ascii="Calibri Light" w:eastAsia="Times New Roman" w:hAnsi="Calibri Light"/>
      <w:i/>
      <w:iCs/>
      <w:color w:val="1F4D7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List Paragraph11,List Paragraph111,Bullet List,FooterText,Colorful List - Accent 11,numbered,Paragraphe de liste1,列出段落,列出段落1,Bulletr List Paragraph,List Paragraph21,Párrafo de lista1,ПАРАГРАФ,List Paragraph1111"/>
    <w:basedOn w:val="Normal"/>
    <w:link w:val="ListParagraphChar"/>
    <w:uiPriority w:val="34"/>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note de bas de page,Times 10 Point,Exposant 3 Point,Appel note de bas de p,SUPERS,Nota,(NECG) Footnote Reference,Voetnootverwijzing,Footnote Reference Superscript,BVI fnr,Lábjegyzet-hivatkozás,ftr"/>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lang w:val="x-none" w:eastAsia="x-none"/>
    </w:rPr>
  </w:style>
  <w:style w:type="character" w:customStyle="1" w:styleId="CommentTextChar">
    <w:name w:val="Comment Text Char"/>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paragraph" w:styleId="TOC6">
    <w:name w:val="toc 6"/>
    <w:basedOn w:val="Normal"/>
    <w:next w:val="Normal"/>
    <w:autoRedefine/>
    <w:semiHidden/>
    <w:rsid w:val="00B81848"/>
    <w:pPr>
      <w:spacing w:after="0"/>
      <w:ind w:left="1100"/>
    </w:pPr>
    <w:rPr>
      <w:rFonts w:cs="Calibri"/>
      <w:sz w:val="18"/>
      <w:szCs w:val="18"/>
    </w:rPr>
  </w:style>
  <w:style w:type="paragraph" w:customStyle="1" w:styleId="TableContents">
    <w:name w:val="Table Contents"/>
    <w:basedOn w:val="BodyText"/>
    <w:rsid w:val="00B81848"/>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Index">
    <w:name w:val="Index"/>
    <w:basedOn w:val="Normal"/>
    <w:rsid w:val="00B81848"/>
    <w:pPr>
      <w:widowControl w:val="0"/>
      <w:suppressLineNumbers/>
      <w:suppressAutoHyphens/>
      <w:spacing w:after="0" w:line="240" w:lineRule="auto"/>
    </w:pPr>
    <w:rPr>
      <w:rFonts w:ascii="Times New Roman" w:eastAsia="HG Mincho Light J" w:hAnsi="Times New Roman"/>
      <w:color w:val="000000"/>
      <w:sz w:val="24"/>
      <w:szCs w:val="20"/>
      <w:lang w:val="en-US" w:eastAsia="bg-BG"/>
    </w:rPr>
  </w:style>
  <w:style w:type="character" w:styleId="Strong">
    <w:name w:val="Strong"/>
    <w:qFormat/>
    <w:rsid w:val="00B81848"/>
    <w:rPr>
      <w:b/>
      <w:bCs/>
    </w:rPr>
  </w:style>
  <w:style w:type="paragraph" w:customStyle="1" w:styleId="tableheading">
    <w:name w:val="tableheading"/>
    <w:basedOn w:val="Normal"/>
    <w:rsid w:val="00B8184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tablecontents0">
    <w:name w:val="tablecontents"/>
    <w:basedOn w:val="Normal"/>
    <w:rsid w:val="00B81848"/>
    <w:pPr>
      <w:spacing w:before="100" w:beforeAutospacing="1" w:after="100" w:afterAutospacing="1" w:line="240" w:lineRule="auto"/>
    </w:pPr>
    <w:rPr>
      <w:rFonts w:ascii="Times New Roman" w:eastAsia="Times New Roman" w:hAnsi="Times New Roman"/>
      <w:sz w:val="24"/>
      <w:szCs w:val="24"/>
      <w:lang w:eastAsia="bg-BG"/>
    </w:rPr>
  </w:style>
  <w:style w:type="paragraph" w:styleId="BodyText">
    <w:name w:val="Body Text"/>
    <w:basedOn w:val="Normal"/>
    <w:link w:val="BodyTextChar"/>
    <w:uiPriority w:val="99"/>
    <w:semiHidden/>
    <w:unhideWhenUsed/>
    <w:rsid w:val="00B81848"/>
    <w:pPr>
      <w:spacing w:after="120"/>
    </w:pPr>
  </w:style>
  <w:style w:type="character" w:customStyle="1" w:styleId="BodyTextChar">
    <w:name w:val="Body Text Char"/>
    <w:basedOn w:val="DefaultParagraphFont"/>
    <w:link w:val="BodyText"/>
    <w:uiPriority w:val="99"/>
    <w:semiHidden/>
    <w:rsid w:val="00B81848"/>
  </w:style>
  <w:style w:type="paragraph" w:styleId="Title">
    <w:name w:val="Title"/>
    <w:basedOn w:val="Normal"/>
    <w:next w:val="Normal"/>
    <w:link w:val="TitleChar"/>
    <w:qFormat/>
    <w:rsid w:val="00E50B69"/>
    <w:pPr>
      <w:spacing w:after="480" w:line="240" w:lineRule="auto"/>
      <w:jc w:val="center"/>
    </w:pPr>
    <w:rPr>
      <w:rFonts w:ascii="Times New Roman" w:eastAsia="Times New Roman" w:hAnsi="Times New Roman"/>
      <w:b/>
      <w:snapToGrid w:val="0"/>
      <w:sz w:val="48"/>
      <w:szCs w:val="20"/>
      <w:lang w:val="en-GB" w:eastAsia="x-none"/>
    </w:rPr>
  </w:style>
  <w:style w:type="character" w:customStyle="1" w:styleId="TitleChar">
    <w:name w:val="Title Char"/>
    <w:link w:val="Title"/>
    <w:rsid w:val="00E50B69"/>
    <w:rPr>
      <w:rFonts w:ascii="Times New Roman" w:eastAsia="Times New Roman" w:hAnsi="Times New Roman" w:cs="Times New Roman"/>
      <w:b/>
      <w:snapToGrid w:val="0"/>
      <w:sz w:val="48"/>
      <w:szCs w:val="20"/>
      <w:lang w:val="en-GB"/>
    </w:rPr>
  </w:style>
  <w:style w:type="character" w:customStyle="1" w:styleId="Heading2Char">
    <w:name w:val="Heading 2 Char"/>
    <w:link w:val="Heading2"/>
    <w:rsid w:val="007570DC"/>
    <w:rPr>
      <w:rFonts w:ascii="Times New Roman" w:hAnsi="Times New Roman" w:cs="Times New Roman"/>
      <w:b/>
      <w:color w:val="0070C0"/>
      <w:sz w:val="24"/>
      <w:szCs w:val="24"/>
    </w:rPr>
  </w:style>
  <w:style w:type="paragraph" w:customStyle="1" w:styleId="Guidelines1">
    <w:name w:val="Guidelines 1"/>
    <w:basedOn w:val="TOC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Normal"/>
    <w:next w:val="Normal"/>
    <w:rsid w:val="002624D0"/>
    <w:pPr>
      <w:autoSpaceDE w:val="0"/>
      <w:autoSpaceDN w:val="0"/>
      <w:adjustRightInd w:val="0"/>
      <w:spacing w:after="0" w:line="240" w:lineRule="auto"/>
    </w:pPr>
    <w:rPr>
      <w:rFonts w:ascii="EUAlbertina" w:eastAsia="Times New Roman" w:hAnsi="EUAlbertina"/>
      <w:sz w:val="24"/>
      <w:szCs w:val="24"/>
      <w:lang w:eastAsia="bg-BG"/>
    </w:rPr>
  </w:style>
  <w:style w:type="paragraph" w:customStyle="1" w:styleId="CM4">
    <w:name w:val="CM4"/>
    <w:basedOn w:val="Normal"/>
    <w:next w:val="Normal"/>
    <w:rsid w:val="002624D0"/>
    <w:pPr>
      <w:autoSpaceDE w:val="0"/>
      <w:autoSpaceDN w:val="0"/>
      <w:adjustRightInd w:val="0"/>
      <w:spacing w:after="0" w:line="240" w:lineRule="auto"/>
    </w:pPr>
    <w:rPr>
      <w:rFonts w:ascii="EUAlbertina" w:eastAsia="Times New Roman" w:hAnsi="EUAlbertina"/>
      <w:sz w:val="24"/>
      <w:szCs w:val="24"/>
      <w:lang w:eastAsia="bg-BG"/>
    </w:rPr>
  </w:style>
  <w:style w:type="paragraph" w:styleId="TOC1">
    <w:name w:val="toc 1"/>
    <w:basedOn w:val="Normal"/>
    <w:next w:val="Normal"/>
    <w:autoRedefine/>
    <w:uiPriority w:val="39"/>
    <w:unhideWhenUsed/>
    <w:qFormat/>
    <w:rsid w:val="002624D0"/>
    <w:pPr>
      <w:spacing w:before="120" w:after="120"/>
    </w:pPr>
    <w:rPr>
      <w:rFonts w:cs="Calibri"/>
      <w:b/>
      <w:bCs/>
      <w:caps/>
      <w:sz w:val="20"/>
      <w:szCs w:val="20"/>
    </w:rPr>
  </w:style>
  <w:style w:type="character" w:customStyle="1" w:styleId="Heading1Char">
    <w:name w:val="Heading 1 Char"/>
    <w:link w:val="Heading1"/>
    <w:uiPriority w:val="9"/>
    <w:rsid w:val="007570DC"/>
    <w:rPr>
      <w:rFonts w:ascii="Times New Roman" w:hAnsi="Times New Roman" w:cs="Times New Roman"/>
      <w:b/>
      <w:color w:val="0070C0"/>
      <w:sz w:val="26"/>
      <w:szCs w:val="26"/>
    </w:rPr>
  </w:style>
  <w:style w:type="paragraph" w:styleId="TOCHeading">
    <w:name w:val="TOC Heading"/>
    <w:basedOn w:val="Heading1"/>
    <w:next w:val="Normal"/>
    <w:uiPriority w:val="39"/>
    <w:qFormat/>
    <w:rsid w:val="00EA3F19"/>
    <w:pPr>
      <w:spacing w:line="276" w:lineRule="auto"/>
      <w:outlineLvl w:val="9"/>
    </w:pPr>
    <w:rPr>
      <w:lang w:eastAsia="bg-BG"/>
    </w:rPr>
  </w:style>
  <w:style w:type="paragraph" w:styleId="TOC2">
    <w:name w:val="toc 2"/>
    <w:basedOn w:val="Normal"/>
    <w:next w:val="Normal"/>
    <w:autoRedefine/>
    <w:uiPriority w:val="39"/>
    <w:unhideWhenUsed/>
    <w:qFormat/>
    <w:rsid w:val="00EA3F19"/>
    <w:pPr>
      <w:spacing w:after="0"/>
      <w:ind w:left="220"/>
    </w:pPr>
    <w:rPr>
      <w:rFonts w:cs="Calibri"/>
      <w:smallCaps/>
      <w:sz w:val="20"/>
      <w:szCs w:val="20"/>
    </w:rPr>
  </w:style>
  <w:style w:type="character" w:styleId="Hyperlink">
    <w:name w:val="Hyperlink"/>
    <w:uiPriority w:val="99"/>
    <w:unhideWhenUsed/>
    <w:rsid w:val="00EA3F19"/>
    <w:rPr>
      <w:color w:val="0563C1"/>
      <w:u w:val="single"/>
    </w:rPr>
  </w:style>
  <w:style w:type="paragraph" w:styleId="TOC3">
    <w:name w:val="toc 3"/>
    <w:basedOn w:val="Normal"/>
    <w:next w:val="Normal"/>
    <w:autoRedefine/>
    <w:uiPriority w:val="39"/>
    <w:unhideWhenUsed/>
    <w:qFormat/>
    <w:rsid w:val="00EA3F19"/>
    <w:pPr>
      <w:spacing w:after="0"/>
      <w:ind w:left="440"/>
    </w:pPr>
    <w:rPr>
      <w:rFonts w:cs="Calibri"/>
      <w:i/>
      <w:iCs/>
      <w:sz w:val="20"/>
      <w:szCs w:val="20"/>
    </w:rPr>
  </w:style>
  <w:style w:type="paragraph" w:styleId="TOC4">
    <w:name w:val="toc 4"/>
    <w:basedOn w:val="Normal"/>
    <w:next w:val="Normal"/>
    <w:autoRedefine/>
    <w:uiPriority w:val="39"/>
    <w:unhideWhenUsed/>
    <w:rsid w:val="00EA3F19"/>
    <w:pPr>
      <w:spacing w:after="0"/>
      <w:ind w:left="660"/>
    </w:pPr>
    <w:rPr>
      <w:rFonts w:cs="Calibri"/>
      <w:sz w:val="18"/>
      <w:szCs w:val="18"/>
    </w:rPr>
  </w:style>
  <w:style w:type="paragraph" w:styleId="TOC5">
    <w:name w:val="toc 5"/>
    <w:basedOn w:val="Normal"/>
    <w:next w:val="Normal"/>
    <w:autoRedefine/>
    <w:uiPriority w:val="39"/>
    <w:unhideWhenUsed/>
    <w:rsid w:val="00EA3F19"/>
    <w:pPr>
      <w:spacing w:after="0"/>
      <w:ind w:left="880"/>
    </w:pPr>
    <w:rPr>
      <w:rFonts w:cs="Calibri"/>
      <w:sz w:val="18"/>
      <w:szCs w:val="18"/>
    </w:rPr>
  </w:style>
  <w:style w:type="paragraph" w:styleId="TOC7">
    <w:name w:val="toc 7"/>
    <w:basedOn w:val="Normal"/>
    <w:next w:val="Normal"/>
    <w:autoRedefine/>
    <w:uiPriority w:val="39"/>
    <w:unhideWhenUsed/>
    <w:rsid w:val="00EA3F19"/>
    <w:pPr>
      <w:spacing w:after="0"/>
      <w:ind w:left="1320"/>
    </w:pPr>
    <w:rPr>
      <w:rFonts w:cs="Calibri"/>
      <w:sz w:val="18"/>
      <w:szCs w:val="18"/>
    </w:rPr>
  </w:style>
  <w:style w:type="paragraph" w:styleId="TOC8">
    <w:name w:val="toc 8"/>
    <w:basedOn w:val="Normal"/>
    <w:next w:val="Normal"/>
    <w:autoRedefine/>
    <w:uiPriority w:val="39"/>
    <w:unhideWhenUsed/>
    <w:rsid w:val="00EA3F19"/>
    <w:pPr>
      <w:spacing w:after="0"/>
      <w:ind w:left="1540"/>
    </w:pPr>
    <w:rPr>
      <w:rFonts w:cs="Calibri"/>
      <w:sz w:val="18"/>
      <w:szCs w:val="18"/>
    </w:rPr>
  </w:style>
  <w:style w:type="paragraph" w:styleId="TOC9">
    <w:name w:val="toc 9"/>
    <w:basedOn w:val="Normal"/>
    <w:next w:val="Normal"/>
    <w:autoRedefine/>
    <w:uiPriority w:val="39"/>
    <w:unhideWhenUsed/>
    <w:rsid w:val="00EA3F19"/>
    <w:pPr>
      <w:spacing w:after="0"/>
      <w:ind w:left="1760"/>
    </w:pPr>
    <w:rPr>
      <w:rFonts w:cs="Calibri"/>
      <w:sz w:val="18"/>
      <w:szCs w:val="18"/>
    </w:rPr>
  </w:style>
  <w:style w:type="paragraph" w:customStyle="1" w:styleId="Text1">
    <w:name w:val="Text 1"/>
    <w:basedOn w:val="Normal"/>
    <w:rsid w:val="00C871C6"/>
    <w:pPr>
      <w:spacing w:after="240" w:line="240" w:lineRule="auto"/>
      <w:ind w:left="482"/>
      <w:jc w:val="both"/>
    </w:pPr>
    <w:rPr>
      <w:rFonts w:ascii="Times New Roman" w:eastAsia="Times New Roman" w:hAnsi="Times New Roman"/>
      <w:snapToGrid w:val="0"/>
      <w:sz w:val="24"/>
      <w:szCs w:val="20"/>
      <w:lang w:val="en-GB"/>
    </w:rPr>
  </w:style>
  <w:style w:type="paragraph" w:customStyle="1" w:styleId="Default">
    <w:name w:val="Default"/>
    <w:rsid w:val="00A8656C"/>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rsid w:val="00B174FC"/>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6Char">
    <w:name w:val="Heading 6 Char"/>
    <w:link w:val="Heading6"/>
    <w:uiPriority w:val="9"/>
    <w:semiHidden/>
    <w:rsid w:val="00635331"/>
    <w:rPr>
      <w:rFonts w:ascii="Calibri Light" w:eastAsia="Times New Roman" w:hAnsi="Calibri Light" w:cs="Times New Roman"/>
      <w:i/>
      <w:iCs/>
      <w:color w:val="1F4D78"/>
    </w:rPr>
  </w:style>
  <w:style w:type="paragraph" w:styleId="BodyText3">
    <w:name w:val="Body Text 3"/>
    <w:basedOn w:val="Normal"/>
    <w:link w:val="BodyText3Char"/>
    <w:uiPriority w:val="99"/>
    <w:unhideWhenUsed/>
    <w:rsid w:val="00635331"/>
    <w:pPr>
      <w:spacing w:after="120"/>
    </w:pPr>
    <w:rPr>
      <w:sz w:val="16"/>
      <w:szCs w:val="16"/>
      <w:lang w:val="x-none" w:eastAsia="x-none"/>
    </w:rPr>
  </w:style>
  <w:style w:type="character" w:customStyle="1" w:styleId="BodyText3Char">
    <w:name w:val="Body Text 3 Char"/>
    <w:link w:val="BodyText3"/>
    <w:uiPriority w:val="99"/>
    <w:rsid w:val="00635331"/>
    <w:rPr>
      <w:sz w:val="16"/>
      <w:szCs w:val="16"/>
    </w:rPr>
  </w:style>
  <w:style w:type="paragraph" w:styleId="ListBullet">
    <w:name w:val="List Bullet"/>
    <w:basedOn w:val="Normal"/>
    <w:autoRedefine/>
    <w:rsid w:val="00175117"/>
    <w:pPr>
      <w:tabs>
        <w:tab w:val="left" w:pos="360"/>
      </w:tabs>
      <w:spacing w:before="120" w:after="240" w:line="240" w:lineRule="auto"/>
      <w:jc w:val="both"/>
    </w:pPr>
    <w:rPr>
      <w:rFonts w:ascii="Times New Roman" w:eastAsia="Times New Roman" w:hAnsi="Times New Roman"/>
      <w:b/>
      <w:sz w:val="24"/>
      <w:szCs w:val="20"/>
      <w:lang w:eastAsia="en-GB"/>
    </w:rPr>
  </w:style>
  <w:style w:type="paragraph" w:customStyle="1" w:styleId="GfAheading1">
    <w:name w:val="GfA heading 1"/>
    <w:basedOn w:val="Normal"/>
    <w:rsid w:val="00C6489D"/>
    <w:pPr>
      <w:numPr>
        <w:numId w:val="12"/>
      </w:numPr>
      <w:spacing w:after="0" w:line="240" w:lineRule="auto"/>
    </w:pPr>
    <w:rPr>
      <w:rFonts w:ascii="Times New Roman" w:eastAsia="Times New Roman" w:hAnsi="Times New Roman"/>
      <w:b/>
      <w:snapToGrid w:val="0"/>
      <w:sz w:val="24"/>
      <w:szCs w:val="24"/>
    </w:rPr>
  </w:style>
  <w:style w:type="paragraph" w:customStyle="1" w:styleId="Guidelines2">
    <w:name w:val="Guidelines 2"/>
    <w:basedOn w:val="Normal"/>
    <w:rsid w:val="00F059A2"/>
    <w:pPr>
      <w:spacing w:before="240" w:after="240" w:line="240" w:lineRule="auto"/>
      <w:jc w:val="both"/>
    </w:pPr>
    <w:rPr>
      <w:rFonts w:ascii="Times New Roman" w:eastAsia="Times New Roman" w:hAnsi="Times New Roman"/>
      <w:b/>
      <w:smallCaps/>
      <w:snapToGrid w:val="0"/>
      <w:sz w:val="24"/>
      <w:szCs w:val="20"/>
      <w:lang w:val="en-GB"/>
    </w:rPr>
  </w:style>
  <w:style w:type="paragraph" w:customStyle="1" w:styleId="firstline">
    <w:name w:val="firstline"/>
    <w:basedOn w:val="Normal"/>
    <w:rsid w:val="00D00F5E"/>
    <w:pPr>
      <w:spacing w:after="0" w:line="240" w:lineRule="atLeast"/>
      <w:ind w:firstLine="640"/>
      <w:jc w:val="both"/>
    </w:pPr>
    <w:rPr>
      <w:rFonts w:ascii="Times New Roman" w:eastAsia="Times New Roman" w:hAnsi="Times New Roman"/>
      <w:color w:val="000000"/>
      <w:sz w:val="24"/>
      <w:szCs w:val="24"/>
      <w:lang w:eastAsia="bg-BG"/>
    </w:rPr>
  </w:style>
  <w:style w:type="character" w:customStyle="1" w:styleId="ldef">
    <w:name w:val="ldef"/>
    <w:basedOn w:val="DefaultParagraphFont"/>
    <w:rsid w:val="00D00F5E"/>
  </w:style>
  <w:style w:type="paragraph" w:customStyle="1" w:styleId="BodyText21">
    <w:name w:val="Body Text 21"/>
    <w:basedOn w:val="Normal"/>
    <w:rsid w:val="004B21A5"/>
    <w:pPr>
      <w:spacing w:after="0" w:line="240" w:lineRule="auto"/>
    </w:pPr>
    <w:rPr>
      <w:rFonts w:ascii="Times New Roman" w:eastAsia="Times New Roman" w:hAnsi="Times New Roman"/>
      <w:snapToGrid w:val="0"/>
      <w:szCs w:val="20"/>
      <w:lang w:eastAsia="bg-BG"/>
    </w:rPr>
  </w:style>
  <w:style w:type="paragraph" w:customStyle="1" w:styleId="Clause">
    <w:name w:val="Clause"/>
    <w:basedOn w:val="Normal"/>
    <w:autoRedefine/>
    <w:rsid w:val="00D67E90"/>
    <w:pPr>
      <w:numPr>
        <w:numId w:val="22"/>
      </w:numPr>
      <w:spacing w:after="120" w:line="240" w:lineRule="auto"/>
      <w:jc w:val="both"/>
    </w:pPr>
    <w:rPr>
      <w:rFonts w:ascii="Times New Roman" w:eastAsia="Times New Roman" w:hAnsi="Times New Roman"/>
      <w:snapToGrid w:val="0"/>
      <w:sz w:val="24"/>
      <w:szCs w:val="24"/>
    </w:rPr>
  </w:style>
  <w:style w:type="character" w:customStyle="1" w:styleId="Heading3Char">
    <w:name w:val="Heading 3 Char"/>
    <w:link w:val="Heading3"/>
    <w:uiPriority w:val="9"/>
    <w:semiHidden/>
    <w:rsid w:val="00C83120"/>
    <w:rPr>
      <w:rFonts w:ascii="Calibri Light" w:eastAsia="Times New Roman" w:hAnsi="Calibri Light" w:cs="Times New Roman"/>
      <w:b/>
      <w:bCs/>
      <w:color w:val="5B9BD5"/>
    </w:rPr>
  </w:style>
  <w:style w:type="paragraph" w:styleId="Revision">
    <w:name w:val="Revision"/>
    <w:hidden/>
    <w:uiPriority w:val="99"/>
    <w:semiHidden/>
    <w:rsid w:val="00462B4A"/>
    <w:rPr>
      <w:sz w:val="22"/>
      <w:szCs w:val="22"/>
      <w:lang w:eastAsia="en-US"/>
    </w:rPr>
  </w:style>
  <w:style w:type="paragraph" w:customStyle="1" w:styleId="NoSpacing1">
    <w:name w:val="No Spacing1"/>
    <w:uiPriority w:val="99"/>
    <w:qFormat/>
    <w:rsid w:val="000F33C1"/>
    <w:rPr>
      <w:rFonts w:ascii="Times New Roman" w:eastAsia="Times New Roman" w:hAnsi="Times New Roman"/>
      <w:sz w:val="24"/>
      <w:szCs w:val="24"/>
    </w:rPr>
  </w:style>
  <w:style w:type="paragraph" w:styleId="NoSpacing">
    <w:name w:val="No Spacing"/>
    <w:link w:val="NoSpacingChar"/>
    <w:uiPriority w:val="1"/>
    <w:qFormat/>
    <w:rsid w:val="00057E5D"/>
    <w:rPr>
      <w:rFonts w:eastAsia="Times New Roman"/>
      <w:sz w:val="22"/>
      <w:szCs w:val="22"/>
    </w:rPr>
  </w:style>
  <w:style w:type="character" w:customStyle="1" w:styleId="NoSpacingChar">
    <w:name w:val="No Spacing Char"/>
    <w:link w:val="NoSpacing"/>
    <w:uiPriority w:val="1"/>
    <w:rsid w:val="00057E5D"/>
    <w:rPr>
      <w:rFonts w:eastAsia="Times New Roman"/>
      <w:sz w:val="22"/>
      <w:szCs w:val="22"/>
      <w:lang w:bidi="ar-SA"/>
    </w:rPr>
  </w:style>
  <w:style w:type="paragraph" w:customStyle="1" w:styleId="AB630D60F59F403CB531B268FE76FA17">
    <w:name w:val="AB630D60F59F403CB531B268FE76FA17"/>
    <w:rsid w:val="00057E5D"/>
    <w:pPr>
      <w:spacing w:after="200" w:line="276" w:lineRule="auto"/>
    </w:pPr>
    <w:rPr>
      <w:rFonts w:eastAsia="Times New Roman"/>
      <w:sz w:val="22"/>
      <w:szCs w:val="22"/>
    </w:rPr>
  </w:style>
  <w:style w:type="character" w:customStyle="1" w:styleId="legaldocreference">
    <w:name w:val="legaldocreference"/>
    <w:rsid w:val="00E24B60"/>
  </w:style>
  <w:style w:type="table" w:customStyle="1" w:styleId="1">
    <w:name w:val="Мрежа в таблица1"/>
    <w:basedOn w:val="TableNormal"/>
    <w:next w:val="TableGrid"/>
    <w:rsid w:val="00EC67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4361D4"/>
    <w:pPr>
      <w:ind w:left="720"/>
      <w:contextualSpacing/>
    </w:pPr>
  </w:style>
  <w:style w:type="character" w:customStyle="1" w:styleId="ListParagraphChar">
    <w:name w:val="List Paragraph Char"/>
    <w:aliases w:val="List1 Char,List Paragraph11 Char,List Paragraph111 Char,Bullet List Char,FooterText Char,Colorful List - Accent 11 Char,numbered Char,Paragraphe de liste1 Char,列出段落 Char,列出段落1 Char,Bulletr List Paragraph Char,List Paragraph21 Char"/>
    <w:link w:val="ListParagraph"/>
    <w:uiPriority w:val="34"/>
    <w:qFormat/>
    <w:locked/>
    <w:rsid w:val="009567B0"/>
    <w:rPr>
      <w:sz w:val="22"/>
      <w:szCs w:val="22"/>
      <w:lang w:eastAsia="en-US"/>
    </w:rPr>
  </w:style>
  <w:style w:type="paragraph" w:styleId="HTMLPreformatted">
    <w:name w:val="HTML Preformatted"/>
    <w:basedOn w:val="Normal"/>
    <w:link w:val="HTMLPreformattedChar"/>
    <w:uiPriority w:val="99"/>
    <w:semiHidden/>
    <w:unhideWhenUsed/>
    <w:rsid w:val="007A79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799F"/>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zaedno.eu/" TargetMode="External"/><Relationship Id="rId5" Type="http://schemas.openxmlformats.org/officeDocument/2006/relationships/webSettings" Target="webSettings.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E998-E857-4D7A-B0DF-D32F2A51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22766</Words>
  <Characters>129768</Characters>
  <Application>Microsoft Office Word</Application>
  <DocSecurity>0</DocSecurity>
  <Lines>1081</Lines>
  <Paragraphs>304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152230</CharactersWithSpaces>
  <SharedDoc>false</SharedDoc>
  <HLinks>
    <vt:vector size="24" baseType="variant">
      <vt:variant>
        <vt:i4>1769490</vt:i4>
      </vt:variant>
      <vt:variant>
        <vt:i4>12</vt:i4>
      </vt:variant>
      <vt:variant>
        <vt:i4>0</vt:i4>
      </vt:variant>
      <vt:variant>
        <vt:i4>5</vt:i4>
      </vt:variant>
      <vt:variant>
        <vt:lpwstr>https://eumis2020.government.bg/</vt:lpwstr>
      </vt:variant>
      <vt:variant>
        <vt:lpwstr/>
      </vt:variant>
      <vt:variant>
        <vt:i4>720923</vt:i4>
      </vt:variant>
      <vt:variant>
        <vt:i4>9</vt:i4>
      </vt:variant>
      <vt:variant>
        <vt:i4>0</vt:i4>
      </vt:variant>
      <vt:variant>
        <vt:i4>5</vt:i4>
      </vt:variant>
      <vt:variant>
        <vt:lpwstr>http://www.mig-zaedno.eu/</vt:lpwstr>
      </vt:variant>
      <vt:variant>
        <vt:lpwstr/>
      </vt:variant>
      <vt:variant>
        <vt:i4>7929900</vt:i4>
      </vt:variant>
      <vt:variant>
        <vt:i4>6</vt:i4>
      </vt:variant>
      <vt:variant>
        <vt:i4>0</vt:i4>
      </vt:variant>
      <vt:variant>
        <vt:i4>5</vt:i4>
      </vt:variant>
      <vt:variant>
        <vt:lpwstr>http://eumis2020.government.bg/</vt:lpwstr>
      </vt:variant>
      <vt:variant>
        <vt:lpwstr/>
      </vt:variant>
      <vt:variant>
        <vt:i4>1376333</vt:i4>
      </vt:variant>
      <vt:variant>
        <vt:i4>3</vt:i4>
      </vt:variant>
      <vt:variant>
        <vt:i4>0</vt:i4>
      </vt:variant>
      <vt:variant>
        <vt:i4>5</vt:i4>
      </vt:variant>
      <vt:variant>
        <vt:lpwstr>http://minimis.minfin.bg/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dc:creator>
  <cp:lastModifiedBy>Irina Simeonska</cp:lastModifiedBy>
  <cp:revision>4</cp:revision>
  <cp:lastPrinted>2018-02-08T14:33:00Z</cp:lastPrinted>
  <dcterms:created xsi:type="dcterms:W3CDTF">2020-11-04T13:35:00Z</dcterms:created>
  <dcterms:modified xsi:type="dcterms:W3CDTF">2020-11-04T13:37:00Z</dcterms:modified>
</cp:coreProperties>
</file>